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-756285</wp:posOffset>
                </wp:positionH>
                <wp:positionV relativeFrom="margin">
                  <wp:posOffset>622935</wp:posOffset>
                </wp:positionV>
                <wp:extent cx="6838950" cy="4448175"/>
                <wp:effectExtent l="19050" t="0" r="0" b="0"/>
                <wp:wrapSquare wrapText="bothSides"/>
                <wp:docPr id="1" name="Рисунок 1" descr="MM_shadow-people-illu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MM_shadow-people-illus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6838950" cy="444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251659264;o:allowoverlap:true;o:allowincell:true;mso-position-horizontal-relative:margin;margin-left:-59.55pt;mso-position-horizontal:absolute;mso-position-vertical-relative:margin;margin-top:49.05pt;mso-position-vertical:absolute;width:538.50pt;height:350.25pt;mso-wrap-distance-left:9.00pt;mso-wrap-distance-top:0.00pt;mso-wrap-distance-right:9.00pt;mso-wrap-distance-bottom:0.00pt;" stroked="f" strokeweight="0.75pt">
                <v:path textboxrect="0,0,0,0"/>
                <w10:wrap type="square"/>
                <v:imagedata r:id="rId13" o:title=""/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ИНФОРМАЦИОННЫЙ ВЫПУСК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«Об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оказании услуг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в сфере государственного кадастрового учета, государственной регистрации прав и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предоставления сведений из ЕГРН</w:t>
      </w:r>
      <w:r>
        <w:rPr>
          <w:rFonts w:ascii="Times New Roman" w:hAnsi="Times New Roman" w:cs="Times New Roman"/>
          <w:b/>
          <w:sz w:val="28"/>
          <w:szCs w:val="28"/>
        </w:rPr>
        <w:t xml:space="preserve">»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ОТДЕЛ ПРАВОВОГО ОБЕСПЕЧЕНИЯ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УПРАВЛЕНИЯ РОСРЕЕСТРА ПО НОВОСИБИРСКОЙ ОБЛАСТИ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 w:clear="all"/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pStyle w:val="988"/>
        <w:ind w:firstLine="709"/>
        <w:jc w:val="center"/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Новости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закон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одательства</w:t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</w:p>
    <w:p>
      <w:pPr>
        <w:shd w:val="nil" w:color="000000"/>
        <w:rPr>
          <w:b/>
          <w:bCs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shd w:val="nil" w:color="000000"/>
        <w:rPr>
          <w:b/>
          <w:bCs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</w:rPr>
        <w:t xml:space="preserve">1. </w:t>
      </w:r>
      <w:r>
        <w:rPr>
          <w:b/>
          <w:bCs/>
        </w:rPr>
      </w:r>
      <w:hyperlink r:id="rId14" w:tooltip="https://www.consultant.ru/document/cons_doc_LAW_511158/" w:history="1">
        <w:r>
          <w:rPr>
            <w:b/>
            <w:bCs/>
          </w:rPr>
          <w:t xml:space="preserve">Федеральный закон от 31.07.2025 № 344-ФЗ «О внесении изменений в статью 4 Федерального закона «О публично-правовой компании «Роскадастр» и отдельные законодательные акты Российской Федерации».</w:t>
        </w:r>
      </w:hyperlink>
      <w:r>
        <w:rPr>
          <w:b/>
          <w:bCs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shd w:val="nil" w:color="000000"/>
        <w:rPr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</w:rPr>
        <w:t xml:space="preserve">Расширены права публично-правовой компании «Роскадастр».</w:t>
      </w:r>
      <w:r>
        <w:rPr>
          <w:b w:val="0"/>
          <w:bCs w:val="0"/>
          <w14:ligatures w14:val="none"/>
        </w:rPr>
      </w:r>
      <w:r>
        <w:rPr>
          <w14:ligatures w14:val="none"/>
        </w:rPr>
      </w:r>
    </w:p>
    <w:p>
      <w:pPr>
        <w:shd w:val="nil" w:color="000000"/>
        <w:rPr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</w:rPr>
        <w:t xml:space="preserve">Предусмотрено, что ППК «Роскадастр» в соответствии с соглашением, заключаемым с органами государственной власти субъектов РФ или органами местного самоуправления, на территории соответствующих субъекта РФ или муниципального образования вправе в том числе:</w:t>
      </w:r>
      <w:r>
        <w:rPr>
          <w:b w:val="0"/>
          <w:bCs w:val="0"/>
          <w14:ligatures w14:val="none"/>
        </w:rPr>
      </w:r>
      <w:r>
        <w:rPr>
          <w14:ligatures w14:val="none"/>
        </w:rPr>
      </w:r>
    </w:p>
    <w:p>
      <w:pPr>
        <w:shd w:val="nil" w:color="000000"/>
        <w:rPr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</w:rPr>
        <w:t xml:space="preserve">осуществлять подготовку документов, необходимых для образования и (или) предоставления земельных участков, находящихся в государственной или муниципальной собственности, для установления сервитутов в отношении таких земельных участков, для перераспределени</w:t>
      </w:r>
      <w:r>
        <w:rPr>
          <w:b w:val="0"/>
          <w:bCs w:val="0"/>
        </w:rPr>
        <w:t xml:space="preserve">я земель и (или) земельных участков, находящихся в государственной или муниципальной собственности, между собой либо таких земель и (или) земельных участков и земельных участков, находящихся в частной собственности;</w:t>
      </w:r>
      <w:r>
        <w:rPr>
          <w:b w:val="0"/>
          <w:bCs w:val="0"/>
          <w14:ligatures w14:val="none"/>
        </w:rPr>
      </w:r>
      <w:r>
        <w:rPr>
          <w14:ligatures w14:val="none"/>
        </w:rPr>
      </w:r>
    </w:p>
    <w:p>
      <w:pPr>
        <w:shd w:val="nil" w:color="000000"/>
        <w:rPr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</w:rPr>
        <w:t xml:space="preserve">обеспечивать осуществление государственного кадастрового учета и (или) государственной регистрации прав на объекты недвижимости, внесение в ЕГРН сведений в отношении ранее учтенных объектов недвижимости, сведения о которых отсутствуют в ЕГРН или подлежат у</w:t>
      </w:r>
      <w:r>
        <w:rPr>
          <w:b w:val="0"/>
          <w:bCs w:val="0"/>
        </w:rPr>
        <w:t xml:space="preserve">точнению (в случае, если данными объектами являются земельные участки, границы которых подлежат уточнению), а также в отношении существующих зданий, сооружений, объектов незавершенного строительства, помещений, машино-мест, сведения о которых отсутствуют в</w:t>
      </w:r>
      <w:r>
        <w:rPr>
          <w:b w:val="0"/>
          <w:bCs w:val="0"/>
        </w:rPr>
        <w:t xml:space="preserve"> ЕГРН или не соответствуют сведениям, содержащимся в нем.</w:t>
      </w:r>
      <w:r>
        <w:rPr>
          <w:b w:val="0"/>
          <w:bCs w:val="0"/>
          <w14:ligatures w14:val="none"/>
        </w:rPr>
      </w:r>
      <w:r>
        <w:rPr>
          <w14:ligatures w14:val="none"/>
        </w:rPr>
      </w:r>
    </w:p>
    <w:p>
      <w:pPr>
        <w:shd w:val="nil" w:color="000000"/>
        <w:rPr>
          <w:b w:val="0"/>
          <w:bCs w:val="0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</w:rPr>
        <w:t xml:space="preserve">Закон вступает в силу со дня его официального опубликования, за исключением отдельного положения, для которого установлен иной срок вступления в силу.</w:t>
      </w:r>
      <w:r>
        <w:rPr>
          <w:b w:val="0"/>
          <w:bCs w:val="0"/>
          <w14:ligatures w14:val="none"/>
        </w:rPr>
      </w:r>
      <w:r>
        <w:rPr>
          <w:b w:val="0"/>
          <w:bCs w:val="0"/>
          <w:highlight w:val="none"/>
          <w14:ligatures w14:val="none"/>
        </w:rPr>
      </w:r>
    </w:p>
    <w:p>
      <w:pPr>
        <w:shd w:val="nil" w:color="000000"/>
        <w:rPr>
          <w:b w:val="0"/>
          <w:bCs w:val="0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14:ligatures w14:val="none"/>
        </w:rPr>
      </w:r>
      <w:r>
        <w:rPr>
          <w:b w:val="0"/>
          <w:bCs w:val="0"/>
          <w14:ligatures w14:val="none"/>
        </w:rPr>
      </w:r>
      <w:r>
        <w:rPr>
          <w:b w:val="0"/>
          <w:bCs w:val="0"/>
          <w14:ligatures w14:val="none"/>
        </w:rPr>
      </w:r>
    </w:p>
    <w:p>
      <w:pPr>
        <w:shd w:val="nil" w:color="000000"/>
        <w:rPr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</w:rPr>
      </w:r>
      <w:r>
        <w:rPr>
          <w14:ligatures w14:val="none"/>
        </w:rPr>
      </w:r>
      <w:r>
        <w:rPr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/>
          <w:bCs/>
          <w:color w:val="000000"/>
          <w14:ligatures w14:val="none"/>
        </w:rPr>
      </w:pP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/>
          <w:bCs/>
          <w:color w:val="000000"/>
          <w14:ligatures w14:val="none"/>
        </w:rPr>
        <w:sectPr>
          <w:headerReference w:type="default" r:id="rId9"/>
          <w:headerReference w:type="first" r:id="rId10"/>
          <w:footerReference w:type="first" r:id="rId11"/>
          <w:footnotePr/>
          <w:endnotePr/>
          <w:type w:val="continuous"/>
          <w:pgSz w:w="11906" w:h="16838" w:orient="portrait"/>
          <w:pgMar w:top="1134" w:right="850" w:bottom="1134" w:left="1701" w:header="709" w:footer="709" w:gutter="0"/>
          <w:cols w:num="1" w:sep="0" w:space="708" w:equalWidth="1"/>
          <w:docGrid w:linePitch="360"/>
        </w:sectPr>
      </w:pPr>
      <w:r>
        <w:rPr>
          <w:rFonts w:ascii="Times New Roman" w:hAnsi="Times New Roman" w:eastAsia="Calibri" w:cs="Times New Roman"/>
          <w:b/>
          <w:bCs/>
          <w:color w:val="000000"/>
          <w:sz w:val="28"/>
          <w:szCs w:val="28"/>
          <w:highlight w:val="none"/>
          <w:shd w:val="clear" w:color="ffffff" w:themeColor="background1" w:fill="ffffff" w:themeFill="background1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</w:p>
    <w:p>
      <w:pPr>
        <w:pStyle w:val="988"/>
        <w:ind w:left="1069" w:firstLine="0"/>
        <w:jc w:val="center"/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нформационные письма и разъяснения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 сфере государственного кадастрового учета и (или) государственной регистрации пр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ав, материалы судебной практики</w:t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</w:p>
    <w:p>
      <w:pPr>
        <w:spacing w:line="245" w:lineRule="auto"/>
        <w:rPr>
          <w:b w:val="0"/>
          <w:bCs w:val="0"/>
          <w:highlight w:val="none"/>
          <w14:ligatures w14:val="none"/>
        </w:rPr>
      </w:pPr>
      <w:r>
        <w:rPr>
          <w:b w:val="0"/>
          <w:bCs w:val="0"/>
          <w:highlight w:val="none"/>
          <w14:ligatures w14:val="none"/>
        </w:rPr>
      </w:r>
      <w:r>
        <w:rPr>
          <w:b w:val="0"/>
          <w:bCs w:val="0"/>
          <w:highlight w:val="none"/>
          <w14:ligatures w14:val="none"/>
        </w:rPr>
      </w:r>
      <w:r>
        <w:rPr>
          <w:b w:val="0"/>
          <w:bCs w:val="0"/>
          <w:highlight w:val="none"/>
          <w14:ligatures w14:val="none"/>
        </w:rPr>
      </w:r>
    </w:p>
    <w:p>
      <w:pPr>
        <w:spacing w:line="240" w:lineRule="auto"/>
        <w:rPr>
          <w:b/>
          <w:bCs/>
          <w:color w:val="000000"/>
          <w:highlight w:val="none"/>
          <w:lang w:eastAsia="ru-RU"/>
          <w14:ligatures w14:val="none"/>
        </w:rPr>
      </w:pPr>
      <w:r>
        <w:rPr>
          <w:b/>
          <w:highlight w:val="none"/>
        </w:rPr>
        <w:t xml:space="preserve">1. </w:t>
      </w:r>
      <w:r>
        <w:rPr>
          <w:b/>
          <w:bCs/>
          <w:color w:val="000000"/>
        </w:rPr>
        <w:t xml:space="preserve">Письмо Ро</w:t>
      </w:r>
      <w:r>
        <w:rPr>
          <w:b/>
          <w:bCs/>
          <w:color w:val="000000"/>
        </w:rPr>
        <w:t xml:space="preserve">среестр</w:t>
      </w:r>
      <w:r>
        <w:rPr>
          <w:b/>
          <w:bCs/>
          <w:color w:val="000000"/>
        </w:rPr>
        <w:t xml:space="preserve">а</w:t>
      </w:r>
      <w:r>
        <w:rPr>
          <w:b/>
          <w:bCs/>
          <w:color w:val="000000"/>
          <w:lang w:eastAsia="ru-RU"/>
        </w:rPr>
        <w:t xml:space="preserve"> о</w:t>
      </w:r>
      <w:r>
        <w:rPr>
          <w:b/>
          <w:bCs/>
          <w:color w:val="000000"/>
          <w:lang w:eastAsia="ru-RU"/>
        </w:rPr>
        <w:t xml:space="preserve">т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01.08.2025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№ </w:t>
      </w:r>
      <w:r>
        <w:rPr>
          <w:b/>
          <w:bCs/>
          <w:color w:val="000000"/>
          <w:lang w:eastAsia="ru-RU"/>
        </w:rPr>
        <w:t xml:space="preserve">13-7726-АБ/25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о направлении позиции для использ</w:t>
      </w:r>
      <w:r>
        <w:rPr>
          <w:b/>
          <w:bCs/>
          <w:color w:val="000000"/>
          <w:lang w:eastAsia="ru-RU"/>
        </w:rPr>
        <w:t xml:space="preserve">ования в работе о приостановлении                         учетно-регистрационных действий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с учетом анализа практики применения положений пунктов 21.1 и 21.2 части 1 статьи 26 </w:t>
      </w:r>
      <w:r>
        <w:rPr>
          <w:b/>
          <w:bCs/>
          <w:color w:val="000000"/>
          <w:lang w:eastAsia="ru-RU"/>
        </w:rPr>
        <w:t xml:space="preserve">Федерального закона от 13.07.2015 № 218</w:t>
      </w:r>
      <w:r>
        <w:rPr>
          <w:b/>
          <w:bCs/>
          <w:color w:val="000000"/>
          <w:lang w:eastAsia="ru-RU"/>
        </w:rPr>
        <w:t xml:space="preserve">-ФЗ</w:t>
      </w:r>
      <w:r>
        <w:rPr>
          <w:b/>
          <w:bCs/>
          <w:color w:val="000000"/>
          <w:lang w:eastAsia="ru-RU"/>
        </w:rPr>
        <w:t xml:space="preserve"> «О государственной регистрации </w:t>
      </w:r>
      <w:r>
        <w:rPr>
          <w:b/>
          <w:bCs/>
          <w:color w:val="000000"/>
          <w:lang w:eastAsia="ru-RU"/>
        </w:rPr>
        <w:t xml:space="preserve">недвижимости»</w:t>
      </w:r>
      <w:r>
        <w:rPr>
          <w:b/>
          <w:bCs/>
          <w:color w:val="000000"/>
          <w:highlight w:val="none"/>
          <w:lang w:eastAsia="ru-RU"/>
          <w14:ligatures w14:val="none"/>
        </w:rPr>
        <w:t xml:space="preserve">.</w:t>
      </w:r>
      <w:r>
        <w:rPr>
          <w:b/>
          <w:bCs/>
          <w:color w:val="000000"/>
          <w:highlight w:val="none"/>
          <w:lang w:eastAsia="ru-RU"/>
          <w14:ligatures w14:val="none"/>
        </w:rPr>
      </w:r>
      <w:r>
        <w:rPr>
          <w:b/>
          <w:bCs/>
          <w:color w:val="000000"/>
          <w:highlight w:val="none"/>
          <w:lang w:eastAsia="ru-RU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186094" cy="7335813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819833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 flipH="0" flipV="0">
                          <a:off x="0" y="0"/>
                          <a:ext cx="5186094" cy="733581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08.35pt;height:577.62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5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:highlight w:val="none"/>
          <w:lang w:eastAsia="ru-RU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740939" cy="8120651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703296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 flipH="0" flipV="0">
                          <a:off x="0" y="0"/>
                          <a:ext cx="5740937" cy="81206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52.04pt;height:639.42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ind w:left="0" w:right="0" w:firstLine="709"/>
        <w:jc w:val="both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none"/>
          <w14:ligatures w14:val="none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4"/>
          <w:szCs w:val="24"/>
          <w:highlight w:val="none"/>
          <w14:ligatures w14:val="none"/>
        </w:rPr>
      </w:r>
      <w:r>
        <w:rPr>
          <w:rFonts w:ascii="Times New Roman" w:hAnsi="Times New Roman" w:eastAsia="Times New Roman" w:cs="Times New Roman"/>
          <w:sz w:val="24"/>
          <w:szCs w:val="24"/>
          <w:highlight w:val="none"/>
          <w14:ligatures w14:val="none"/>
        </w:rPr>
      </w:r>
    </w:p>
    <w:p>
      <w:pPr>
        <w:ind w:firstLine="708"/>
        <w:jc w:val="both"/>
        <w:spacing w:after="0" w:line="240" w:lineRule="auto"/>
        <w:rPr>
          <w:rFonts w:ascii="Times New Roman" w:hAnsi="Times New Roman" w:cs="Times New Roman"/>
          <w:b/>
          <w:bCs/>
          <w14:ligatures w14:val="none"/>
        </w:rPr>
        <w:sectPr>
          <w:footnotePr/>
          <w:endnotePr/>
          <w:type w:val="nextPage"/>
          <w:pgSz w:w="11906" w:h="16838" w:orient="portrait"/>
          <w:pgMar w:top="1134" w:right="850" w:bottom="1134" w:left="1701" w:header="709" w:footer="709" w:gutter="0"/>
          <w:cols w:num="1" w:sep="0" w:space="708" w:equalWidth="1"/>
          <w:docGrid w:linePitch="360"/>
          <w:titlePg/>
        </w:sectPr>
      </w:pPr>
      <w:r>
        <w:rPr>
          <w:rFonts w:ascii="Times New Roman" w:hAnsi="Times New Roman" w:cs="Times New Roman"/>
          <w:b/>
          <w:bCs/>
          <w14:ligatures w14:val="none"/>
        </w:rPr>
      </w:r>
      <w:r>
        <w:rPr>
          <w:rFonts w:ascii="Times New Roman" w:hAnsi="Times New Roman" w:cs="Times New Roman"/>
          <w:b/>
          <w:bCs/>
          <w14:ligatures w14:val="none"/>
        </w:rPr>
      </w:r>
      <w:r>
        <w:rPr>
          <w:rFonts w:ascii="Times New Roman" w:hAnsi="Times New Roman" w:cs="Times New Roman"/>
          <w:b/>
          <w:bCs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</w:rPr>
        <w:t xml:space="preserve">2. </w:t>
      </w:r>
      <w:r>
        <w:rPr>
          <w:b/>
          <w:bCs/>
          <w:color w:val="000000"/>
        </w:rPr>
        <w:t xml:space="preserve">Письмо Р</w:t>
      </w:r>
      <w:r>
        <w:rPr>
          <w:b/>
          <w:bCs/>
          <w:color w:val="000000"/>
          <w:lang w:eastAsia="ru-RU"/>
        </w:rPr>
        <w:t xml:space="preserve">о</w:t>
      </w:r>
      <w:r>
        <w:rPr>
          <w:b/>
          <w:bCs/>
          <w:color w:val="000000"/>
          <w:lang w:eastAsia="ru-RU"/>
        </w:rPr>
        <w:t xml:space="preserve">среестр</w:t>
      </w:r>
      <w:r>
        <w:rPr>
          <w:b/>
          <w:bCs/>
          <w:color w:val="000000"/>
          <w:lang w:eastAsia="ru-RU"/>
        </w:rPr>
        <w:t xml:space="preserve">а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о</w:t>
      </w:r>
      <w:r>
        <w:rPr>
          <w:b/>
          <w:bCs/>
          <w:color w:val="000000"/>
          <w:lang w:eastAsia="ru-RU"/>
        </w:rPr>
        <w:t xml:space="preserve">т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15.08.2025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№ </w:t>
      </w:r>
      <w:r>
        <w:rPr>
          <w:b/>
          <w:bCs/>
          <w:color w:val="000000"/>
          <w:lang w:eastAsia="ru-RU"/>
        </w:rPr>
        <w:t xml:space="preserve">14-8253-ТГ/25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о </w:t>
      </w:r>
      <w:r>
        <w:rPr>
          <w:b/>
          <w:bCs/>
          <w:color w:val="000000"/>
          <w:lang w:eastAsia="ru-RU"/>
        </w:rPr>
        <w:t xml:space="preserve">направлении таблицы с обобщенной информацией по вопросам применения </w:t>
      </w:r>
      <w:r>
        <w:rPr>
          <w:b/>
          <w:bCs/>
          <w:color w:val="000000"/>
          <w:lang w:eastAsia="ru-RU"/>
        </w:rPr>
        <w:t xml:space="preserve">пунктов 21.1, 21.2 части 1 статьи 26 Федерального закона от 13.07.2015 № 218-ФЗ</w:t>
      </w:r>
      <w:r>
        <w:rPr>
          <w:b/>
          <w:bCs/>
          <w:color w:val="000000"/>
          <w:lang w:eastAsia="ru-RU"/>
        </w:rPr>
        <w:t xml:space="preserve"> </w:t>
      </w:r>
      <w:r>
        <w:rPr>
          <w:b/>
          <w:bCs/>
          <w:color w:val="000000"/>
          <w:lang w:eastAsia="ru-RU"/>
        </w:rPr>
        <w:t xml:space="preserve">«О государственной регистрации недвижимости»</w:t>
      </w:r>
      <w:r>
        <w:rPr>
          <w:b/>
          <w:bCs/>
          <w:color w:val="000000"/>
          <w:lang w:eastAsia="ru-RU"/>
        </w:rPr>
        <w:t xml:space="preserve">.</w:t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  <w:sectPr>
          <w:footnotePr/>
          <w:endnotePr/>
          <w:type w:val="nextPage"/>
          <w:pgSz w:w="11906" w:h="16838" w:orient="portrait"/>
          <w:pgMar w:top="1134" w:right="850" w:bottom="1134" w:left="1701" w:header="709" w:footer="709" w:gutter="0"/>
          <w:cols w:num="1" w:sep="0" w:space="708" w:equalWidth="1"/>
          <w:docGrid w:linePitch="360"/>
          <w:titlePg/>
        </w:sectPr>
      </w:pPr>
      <w:r>
        <w:rPr>
          <w:b/>
          <w:bCs/>
          <w:color w:val="000000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710035" cy="8076937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3759433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 flipH="0" flipV="0">
                          <a:off x="0" y="0"/>
                          <a:ext cx="5710035" cy="80769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49.61pt;height:635.98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tbl>
      <w:tblPr>
        <w:tblStyle w:val="997"/>
        <w:tblW w:w="0" w:type="auto"/>
        <w:tblLook w:val="04A0" w:firstRow="1" w:lastRow="0" w:firstColumn="1" w:lastColumn="0" w:noHBand="0" w:noVBand="1"/>
      </w:tblPr>
      <w:tblGrid>
        <w:gridCol w:w="7280"/>
        <w:gridCol w:w="7280"/>
      </w:tblGrid>
      <w:tr>
        <w:tblPrEx/>
        <w:trPr>
          <w:trHeight w:val="781"/>
        </w:trPr>
        <w:tc>
          <w:tcPr>
            <w:gridSpan w:val="2"/>
            <w:tcBorders>
              <w:top w:val="non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1456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eastAsia="Times New Roman"/>
                <w:b/>
                <w:color w:val="000000"/>
                <w:sz w:val="22"/>
                <w:szCs w:val="22"/>
              </w:rPr>
            </w:pPr>
            <w:r>
              <w:rPr>
                <w:b w:val="0"/>
                <w:bCs w:val="0"/>
                <w:sz w:val="24"/>
                <w:szCs w:val="24"/>
              </w:rPr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Применение п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ункт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ов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21.1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и 21.2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части 1 статьи 26</w:t>
            </w:r>
            <w:r>
              <w:rPr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Закона № 218-ФЗ</w:t>
            </w:r>
            <w:r>
              <w:rPr>
                <w:rStyle w:val="1000"/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footnoteReference w:id="2"/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при принятии решений о приостановлении государственного кадастрового учета и (или) государственной регистрации прав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2"/>
                <w:szCs w:val="22"/>
                <w:lang w:eastAsia="ru-RU"/>
              </w:rPr>
            </w:r>
            <w:r>
              <w:rPr>
                <w:rFonts w:ascii="Times New Roman" w:hAnsi="Times New Roman" w:eastAsia="Times New Roman"/>
                <w:b/>
                <w:color w:val="000000"/>
                <w:sz w:val="22"/>
                <w:szCs w:val="22"/>
              </w:rPr>
            </w:r>
          </w:p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>
          <w:trHeight w:val="466"/>
        </w:trPr>
        <w:tc>
          <w:tcPr>
            <w:gridSpan w:val="2"/>
            <w:tcBorders>
              <w:top w:val="single" w:color="000000" w:sz="4" w:space="0"/>
            </w:tcBorders>
            <w:tcW w:w="1456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ункт 21.1 ча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сти 1 статьи 26 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>
          <w:trHeight w:val="533"/>
        </w:trPr>
        <w:tc>
          <w:tcPr>
            <w:tcW w:w="728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eastAsia="Times New Roman"/>
                <w:b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ПРИМЕНЯ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Е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ТСЯ</w:t>
            </w:r>
            <w:r>
              <w:rPr>
                <w:rFonts w:ascii="Times New Roman" w:hAnsi="Times New Roman" w:eastAsia="Times New Roman"/>
                <w:b w:val="0"/>
                <w:bCs w:val="0"/>
                <w:color w:val="000000"/>
                <w:sz w:val="22"/>
                <w:szCs w:val="22"/>
                <w:lang w:eastAsia="ru-RU"/>
              </w:rPr>
            </w:r>
            <w:r>
              <w:rPr>
                <w:rFonts w:ascii="Times New Roman" w:hAnsi="Times New Roman" w:eastAsia="Times New Roman"/>
                <w:b/>
                <w:color w:val="000000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НЕ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ПРИМЕНЯ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ТСЯ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>
          <w:trHeight w:val="1544"/>
        </w:trPr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соблюдении одновременно условий: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заявление представлено в отношении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земельного участка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;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2"/>
                <w:szCs w:val="22"/>
                <w:u w:val="single"/>
              </w:rPr>
            </w:r>
            <w:r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ЕГРН</w:t>
            </w:r>
            <w:r>
              <w:rPr>
                <w:rStyle w:val="1000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footnoteReference w:id="3"/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отсутствуют сведения о местоположении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координатах характерных точек границ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этого земельного участка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виде замкнутого контура 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сведения 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границах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содержатся в ЕГРН, но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указан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ы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НЕ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местной системе координат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;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заявление представлено на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государственн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ую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регистраци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ю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прав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ограничений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обременений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объекта недвижимости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сделок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 сервитут)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;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2"/>
                <w:szCs w:val="22"/>
                <w:u w:val="single"/>
              </w:rPr>
            </w:r>
            <w:r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основанием для регистрации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права, ограничения (обременения) права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сделки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является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договор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предметом которого является земельный участок.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ТОМ ЧИСЛЕ: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сведения о местоположении границ земельн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ого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участк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указан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ные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местной системе координат,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содержатся в ЕГРН, но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 соответствуют требованиям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к точности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определения координат характерных точек границ земельного участка, установленным приказом Росреестра от 23.10.2020 № П/0393, либо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 указаны сведения о погрешности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определения координат или погрешности определения площади земельного участка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>
          <w:trHeight w:val="627"/>
        </w:trPr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сведения о координатах характерных точек границ содержа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ся в ЕГРН,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определены в системе координат,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отличной от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местной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системы координат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(МСК)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(вне зависимости от периода времени, в котором установлено местоположение границ объекта недв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ижимости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государственной регистрации права, обременения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объекта недвижимости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на основании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соглашения об установлении сервитута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>
          <w:trHeight w:val="627"/>
        </w:trPr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отношении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частков,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образованных до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вступления в силу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пункта 21.1 части 1 статьи 26 Закона № 218-ФЗ (то есть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до 01.03.2025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предметом договора является доля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праве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Участ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из состава земель с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ельскохозяйственного назначения (земельная доля)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основании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договора,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заключенного на торгах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(в том числе в рамках обращения взыскания на имущество)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ипотеки права аренды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земельного участка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являющегос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я предметом договора об ипотеке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основании догово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ра, предметом которого наряду с иным объектом недвижимости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является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доля в праве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общей собственности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земельный участок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которая следует судьбе этого объекта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внесении изменений в регистрационную запись об ипотеке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земельного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частка на основании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 подлежащего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государственной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регистрации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дополнительного соглашения к договору об ипотеке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vMerge w:val="restart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соглашения о передаче прав и обязанностей по договору аренды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земельного участка (об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уступке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по договору аренды)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земельный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часток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порядке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наследования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vMerge w:val="continue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внесении в ЕГРН сведений 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ранее учтенном земельном участке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(внесение в ЕГРН сведений о ранее учтенном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объекте недвижимости осуществляется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порядке, установленном стать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ей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69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основания для отказа во внесении в ЕГРН сведений о ранее учтенном объекте недвижимости установлены частью 8 названной статьи)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в ЕГРН отсутствуют сведения о местоположении границ лесного участка, часть которого передается в аренду, но до 01.01.2026 к заявлению о государственной регистрации договора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аренды части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такого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лесного участка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приложен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межевой план лесного участка, содержащий сведения о границах части лесного участк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переданной в аренду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>
          <w:trHeight w:val="499"/>
        </w:trPr>
        <w:tc>
          <w:tcPr>
            <w:gridSpan w:val="2"/>
            <w:tcW w:w="1456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ункт 21.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2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ча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сти 1 статьи 26 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>
          <w:trHeight w:val="588"/>
        </w:trPr>
        <w:tc>
          <w:tcPr>
            <w:tcW w:w="728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ПРИМЕНЯЕТСЯ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НЕ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ПРИМЕНЯЕТСЯ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соблюдении одновременно условий: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заявление представлено в отношении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здания, сооружения,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объекта незавершенного строительства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сооружение является линейным объектом или объект незавершенного строительства является линейным объектом, строительство которого не завершено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;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2"/>
                <w:szCs w:val="22"/>
                <w:u w:val="single"/>
              </w:rPr>
            </w:r>
            <w:r>
              <w:rPr>
                <w:rFonts w:ascii="Times New Roman" w:hAnsi="Times New Roman" w:cs="Times New Roman"/>
                <w:b/>
                <w:i/>
                <w:sz w:val="22"/>
                <w:szCs w:val="22"/>
                <w:u w:val="single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заявленные здание, сооружение, объект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незавершенного строительства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согласно сведениям ЕГРН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расположены на земельном участке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в отношении которого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ЕГРН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отсутствуют сведения о местоположении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координатах характерных точек границ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виде замкнутого контура 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 сведения о границах содержатся в ЕГРН, но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указан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ы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НЕ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местной системе координат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);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заявление представлено на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государственный кадастровый учет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(в том числе государственный кадастровый учет изменений)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и (или)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государственн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ую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регистраци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ю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 том числе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ограничений прав, обременений объекта недвижимости, сделок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учетно-регистрационные действия в связи с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прекращением существования здания, сооружения, объекта незавершенного строительства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.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ТОМ ЧИСЛЕ: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при осуществлении учетно-регистрационных действий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в отношении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сооружени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я,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явля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ющегося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л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инейным объектом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,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объект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а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незавершенного строительства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,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явля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ющего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ся линейным объектом, строительство которого не завершено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b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сведения о координатах характерных точек границ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содержа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ся в ЕГРН,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определены в системе координат,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отличной от местной системы координат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(МСК)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(вне зависимости от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периода времени, в котором установлено местоположение границ объекта недв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ижимости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eastAsia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если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документы об осуществлении учетно-регистрационных действий представлены в связи с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прекращением существования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расположенных на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земельном у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частке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здания, сооружения, объекта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4"/>
                <w:szCs w:val="24"/>
                <w:lang w:eastAsia="ru-RU"/>
              </w:rPr>
              <w:t xml:space="preserve">незавершенного строительства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2"/>
                <w:szCs w:val="22"/>
                <w:lang w:eastAsia="ru-RU"/>
              </w:rPr>
            </w:r>
            <w:r>
              <w:rPr>
                <w:rFonts w:ascii="Times New Roman" w:hAnsi="Times New Roman" w:eastAsia="Times New Roman" w:cs="Times New Roman"/>
                <w:color w:val="000000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на здание, сооружение, объект незавершенного строительства, возникшего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в результате приватизации государственного и муниципального имущества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eastAsia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осуществлени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любых учетно-регистрационных действий в отношении зданий, сооружений, объектов незавершенного строительства, если в ЕГРН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отсутствуют сведения о расположении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этих объектов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частках (в том числе, когда невозможно установить, на каком именно земельном участке расположен объект недвижимости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color w:val="000000"/>
                <w:sz w:val="22"/>
                <w:szCs w:val="22"/>
                <w:lang w:eastAsia="ru-RU"/>
              </w:rPr>
            </w:r>
            <w:r>
              <w:rPr>
                <w:rFonts w:ascii="Times New Roman" w:hAnsi="Times New Roman" w:eastAsia="Times New Roman" w:cs="Times New Roman"/>
                <w:color w:val="000000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государственной регистрации прав на здания, сооружения, объекты незавершенного строитель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ства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порядке наследования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 том числе на ранее учтенные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здания, сооружения, объекты незавершенного строительства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в ЕГРН содержатся сведения о таких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объектах недвижимости 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 их расположении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земельном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если сведения о местоположении границ земельн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ого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участк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указан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ные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местной системе координат,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содержатся в ЕГРН, но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 соответствуют требованиям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к точности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определения координат характерных точек границ земельного участка, установленным приказом Росреестра от 23.10.2020 № П/0393, либо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 указаны сведения о погрешности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определения координат или погрешности определения площади земельного участка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осуществлени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учетно-регистрационных действий в отношении зданий, сооружений, объектов незавершенного строительства, в отношении которых в ЕГРН имеются сведения о расположении этих объектов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земельном участке,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н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езависимо от того, оформлены (или нет) права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такой участок, 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- если оформлены –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независимо от того, кто является правообладателем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земельного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внесении в ЕГРН сведений 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ранее учтенном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объекте недвижимости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(внесение в ЕГРН сведений о ранее учтенном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объекте недвижимости осуществляется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 порядке, установленном стать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ей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69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основания для отказа во внесении в ЕГРН сведений о ранее учтенном объекте недвижимости установлены частью 8 названной статьи)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ипотеки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зданий, сооружений, объектов незавершенного строитель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ства, расположенных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участках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осуществлении учетно-регистрационных действий в отношении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помещений, машино-мест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договоров аренды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предметом которых являются здания, сооружения, расположенные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частках,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любых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дополнительных соглашений к таким договорам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к объектам недвижимости,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созданным в границах предоставленных до 01.01.2026 частей лесных участков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если в ЕГРН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содержатся сведения о границах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таких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частей лесных участков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государственной регистрации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любого подлежащего государственной регистрации дополнительного соглашения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к договор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у,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предметом которого являются здания, сооружения, объекты незавершенного строительства, расположенные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частках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в том числе: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дополнительного соглашения к договору об ипотеке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составленному (подписанному) до вступления в силу Федерал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ьного закона от 21.12.2013 № 367-ФЗ «О внесении изменений в часть первую Гражданского кодекса Российской Федерации и признании утратившими силу отдельных законодательных актов (положений законодательных актов) Российской Федерации» (то есть до 01.07.2014);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дополнительного соглашения к договору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купли-продажи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жилого дома, дополнительного соглашения к договору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дарения, дополнительного соглашения к договору ренты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составленн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ым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(подписанн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ым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 до вступления в силу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Федерального закона от 30.12.2012 № 302-ФЗ «О внесении изменений в главы 1, 2, 3 и 4 части первой Гражданского кодекса Российской Федерации»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(то есть до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01.03.2013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объекты незавершенного строительства, указанные в части 22 статьи 40 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(учитывая, что согласно данной норме 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если в ЕГРН не зарегистри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ровано право на земельный участок, на котором расположен указанный в части 22 статьи 40 Закона № 218-ФЗ объект незавершенного строительства, государственный кадастровый учет и (или) государственная регистрация права на такой земельный участок не требуются)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в случае государственного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кадастрового учета изменений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сведений о здании, сооружении, объекте незавершенного строительства, расположенных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земельных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частках 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изменени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я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связанны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с приведением вида объекта в соответствие с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требованиями действующего законодательства (дом блокированной застройки, гараж), в том числе в случае представления заявления о государственном кадастровом учете изменений органами и организациями, указанными в пункте 4.5 части 2 статьи 15 Закона № 218-ФЗ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внесении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изменений в регистрационные записи об ипотеке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зданий, сооружений, объектов незавершенного строительства (в случаях, когда не осуществляется государственная регистрация дополнительного соглашения к договору об ипотеке)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государственной регистрации прав на здание, сооружение, объект незавершенного строительства, осуществляемой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одновременно с внесением в ЕГРН сведений о ранее учтенном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объекте недвижимости по правилам части 8 статьи 69 Закона № 218-ФЗ (невозможность осуществления государственной регистрации прав  на ранее учтенное здание, сооружение, объект незавершенного строительства, расположенные на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земельном у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частке, будет, в свою очередь, препятствовать внесению в ЕГРН сведений о ранее учтенных объектах недвижимости на основании заявления правообладателя объекта недвижимо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сти)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внесении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изменений в регистрационные записи о правах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покупателей зданий, сооружений, объектов незавершенного строительства (на основании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подлежащих государственной регистрации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дополнительных соглашений к договорам купли-продажи этих объектов, обязате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льства по которым не исполнены)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/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здание, сооружение, объект незавершенного строительства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на основании решения суда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b w:val="0"/>
                <w:bCs w:val="0"/>
                <w:color w:val="ff0000"/>
                <w:sz w:val="24"/>
                <w:szCs w:val="24"/>
              </w:rPr>
              <w:t xml:space="preserve">ИСКЛЮЧЕНИЕ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: судом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на орган регистрации прав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возложена обязанность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осуществить такую регистрацию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)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 на здание, сооружение, объект незавершенного строительства на основании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решения суда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, которым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на орган регистрации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возложена обязанность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осуществить такую регистрацию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  <w:tr>
        <w:tblPrEx/>
        <w:trPr>
          <w:trHeight w:val="1078"/>
        </w:trPr>
        <w:tc>
          <w:tcPr>
            <w:tcW w:w="7280" w:type="dxa"/>
            <w:textDirection w:val="lrTb"/>
            <w:noWrap w:val="false"/>
          </w:tcPr>
          <w:p>
            <w:pPr>
              <w:ind w:firstLine="447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государственной регистрации прав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на здание, сооружение, осуществляемой в соответствии с частью 6.2 статьи 70 Закона № 218-ФЗ </w:t>
            </w:r>
            <w:r>
              <w:rPr>
                <w:rFonts w:ascii="Times New Roman" w:hAnsi="Times New Roman" w:cs="Times New Roman"/>
                <w:b w:val="0"/>
                <w:bCs w:val="0"/>
                <w:i/>
                <w:sz w:val="24"/>
                <w:szCs w:val="24"/>
                <w:u w:val="single"/>
              </w:rPr>
              <w:t xml:space="preserve">на основании выписки из реестра государственного или муниципального имущества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  <w:tc>
          <w:tcPr>
            <w:tcW w:w="7280" w:type="dxa"/>
            <w:textDirection w:val="lrTb"/>
            <w:noWrap w:val="false"/>
          </w:tcPr>
          <w:p>
            <w:pPr>
              <w:ind w:firstLine="544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при внесении в записи ЕГРН изменений, связанных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с приведением вида объекта в соответствие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с требованиями действующего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законодательства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(дом блокированной застройки, гараж) </w:t>
            </w:r>
            <w:r>
              <w:rPr>
                <w:rFonts w:ascii="Times New Roman" w:hAnsi="Times New Roman" w:cs="Times New Roman"/>
                <w:b w:val="0"/>
                <w:bCs w:val="0"/>
                <w:sz w:val="22"/>
                <w:szCs w:val="22"/>
              </w:rPr>
            </w:r>
            <w:r>
              <w:rPr>
                <w:rFonts w:ascii="Times New Roman" w:hAnsi="Times New Roman" w:cs="Times New Roman"/>
                <w:sz w:val="22"/>
                <w:szCs w:val="22"/>
              </w:rPr>
            </w:r>
          </w:p>
        </w:tc>
      </w:tr>
    </w:tbl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spacing w:line="240" w:lineRule="auto"/>
        <w:rPr>
          <w:b/>
          <w:bCs/>
          <w:color w:val="000000"/>
          <w14:ligatures w14:val="none"/>
        </w:rPr>
        <w:sectPr>
          <w:footnotePr/>
          <w:endnotePr/>
          <w:type w:val="nextPage"/>
          <w:pgSz w:w="16838" w:h="11906" w:orient="landscape"/>
          <w:pgMar w:top="1701" w:right="1134" w:bottom="850" w:left="1134" w:header="709" w:footer="709" w:gutter="0"/>
          <w:cols w:num="1" w:sep="0" w:space="708" w:equalWidth="1"/>
          <w:docGrid w:linePitch="360"/>
          <w:titlePg/>
        </w:sectPr>
      </w:pP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ind w:firstLine="708"/>
        <w:jc w:val="both"/>
        <w:rPr>
          <w:rStyle w:val="993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pPr>
      <w:r>
        <w:rPr>
          <w:rStyle w:val="993"/>
          <w:rFonts w:ascii="Times New Roman" w:hAnsi="Times New Roman" w:cs="Times New Roman"/>
          <w:b/>
          <w:i/>
          <w:sz w:val="28"/>
          <w:szCs w:val="28"/>
        </w:rPr>
        <w:t xml:space="preserve">Новости информационных сайтов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Минэкономразвития России</w:t>
      </w:r>
      <w:r>
        <w:rPr>
          <w:rStyle w:val="993"/>
          <w:rFonts w:ascii="Times New Roman" w:hAnsi="Times New Roman" w:cs="Times New Roman"/>
          <w:b/>
          <w:i/>
          <w:sz w:val="28"/>
          <w:szCs w:val="28"/>
        </w:rPr>
        <w:t xml:space="preserve">, Росреестра и Управления Росреестра по Новосибирской области</w:t>
      </w:r>
      <w:r>
        <w:rPr>
          <w:rStyle w:val="993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  <w:r>
        <w:rPr>
          <w:rStyle w:val="993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Заместитель руководителя Росреестра Максим Смирнов посетил с рабочим визитом воссоединенные регионы.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Смирнов</w:t>
      </w:r>
      <w:r>
        <w:rPr>
          <w:b w:val="0"/>
          <w:bCs w:val="0"/>
          <w:color w:val="292c2f"/>
          <w:highlight w:val="none"/>
          <w14:ligatures w14:val="none"/>
        </w:rPr>
        <w:t xml:space="preserve"> совместно с представителями ППК «Роскадстр» совершил рабочую поездку в воссоединенные субъекты РФ - Донецкую и Луганскую народные республики, Запорожскую и Херсонскую области. Он встретился с руководством регионов и проинспектировал ход работ по сплошной </w:t>
      </w:r>
      <w:r>
        <w:rPr>
          <w:b w:val="0"/>
          <w:bCs w:val="0"/>
          <w:color w:val="292c2f"/>
          <w:highlight w:val="none"/>
          <w14:ligatures w14:val="none"/>
        </w:rPr>
        <w:t xml:space="preserve">инвентаризации объектов недвижимости, наполнению сведениями ЕГРН, а также внедрению Единой цифровой платформы «Национальная система пространственных данных» в текущую работу органов государственной власти и местного самоуправления.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 поручению Президента, Правительства и Рабочей группы под руководством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Марата Хуснуллина</w:t>
      </w:r>
      <w:r>
        <w:rPr>
          <w:b w:val="0"/>
          <w:bCs w:val="0"/>
          <w:color w:val="292c2f"/>
          <w:highlight w:val="none"/>
          <w14:ligatures w14:val="none"/>
        </w:rPr>
        <w:t xml:space="preserve"> Росреестр с января 2023 года обеспечил деятельность территориальных органов ведомства и филиалов ППК «Роскадастр» на воссоединённых территориях. Сегодня проводится комплекс мероприятий для скорейшего внедрения реализованной на территории остальных субъект</w:t>
      </w:r>
      <w:r>
        <w:rPr>
          <w:b w:val="0"/>
          <w:bCs w:val="0"/>
          <w:color w:val="292c2f"/>
          <w:highlight w:val="none"/>
          <w14:ligatures w14:val="none"/>
        </w:rPr>
        <w:t xml:space="preserve">ов РФ модели учетно-регистрационной деятельности, включая стандарты оказания государственных услуг Росреестра.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ходе посещения Луганской народной республики </w:t>
      </w:r>
      <w:r>
        <w:rPr>
          <w:b w:val="0"/>
          <w:bCs w:val="0"/>
          <w:color w:val="292c2f"/>
          <w:highlight w:val="none"/>
          <w14:ligatures w14:val="none"/>
        </w:rPr>
        <w:t xml:space="preserve">заместитель руководителя Росреестра</w:t>
      </w:r>
      <w:r>
        <w:rPr>
          <w:b w:val="0"/>
          <w:bCs w:val="0"/>
          <w:color w:val="292c2f"/>
          <w:highlight w:val="none"/>
          <w14:ligatures w14:val="none"/>
        </w:rPr>
        <w:t xml:space="preserve"> провел встречу с главой региона </w:t>
      </w:r>
      <w:r>
        <w:rPr>
          <w:b w:val="0"/>
          <w:bCs w:val="0"/>
          <w:color w:val="292c2f"/>
          <w:highlight w:val="none"/>
          <w14:ligatures w14:val="none"/>
        </w:rPr>
        <w:t xml:space="preserve">Леонидом Пасечником, </w:t>
      </w:r>
      <w:r>
        <w:rPr>
          <w:b w:val="0"/>
          <w:bCs w:val="0"/>
          <w:color w:val="292c2f"/>
          <w:highlight w:val="none"/>
          <w14:ligatures w14:val="none"/>
        </w:rPr>
        <w:t xml:space="preserve">а в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Донецкой народной республике - с исполняющим обязанности председателя правительства </w:t>
      </w:r>
      <w:r>
        <w:rPr>
          <w:b w:val="0"/>
          <w:bCs w:val="0"/>
          <w:color w:val="292c2f"/>
          <w:highlight w:val="none"/>
          <w14:ligatures w14:val="none"/>
        </w:rPr>
        <w:t xml:space="preserve">Андреем Чертковым</w:t>
      </w:r>
      <w:r>
        <w:rPr>
          <w:b w:val="0"/>
          <w:bCs w:val="0"/>
          <w:color w:val="292c2f"/>
          <w:highlight w:val="none"/>
          <w14:ligatures w14:val="none"/>
        </w:rPr>
        <w:t xml:space="preserve">. Также в ДНР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Смирнов</w:t>
      </w:r>
      <w:r>
        <w:rPr>
          <w:b w:val="0"/>
          <w:bCs w:val="0"/>
          <w:color w:val="292c2f"/>
          <w:highlight w:val="none"/>
          <w14:ligatures w14:val="none"/>
        </w:rPr>
        <w:t xml:space="preserve"> посетил Мариуполь и осмотрел территорию микрорайона «6-й участок» в Орджоникидзевском районе. Кроме того, состоялась встреча с временно исполняющим полномочия Главы Администрации города Мариуполя </w:t>
      </w:r>
      <w:r>
        <w:rPr>
          <w:b w:val="0"/>
          <w:bCs w:val="0"/>
          <w:color w:val="292c2f"/>
          <w:highlight w:val="none"/>
          <w14:ligatures w14:val="none"/>
        </w:rPr>
        <w:t xml:space="preserve">Антоном Кольцовым</w:t>
      </w:r>
      <w:r>
        <w:rPr>
          <w:b w:val="0"/>
          <w:bCs w:val="0"/>
          <w:color w:val="292c2f"/>
          <w:highlight w:val="none"/>
          <w14:ligatures w14:val="none"/>
        </w:rPr>
        <w:t xml:space="preserve">. В ходе визита в Херсонскую и Запорожскую области были проведены совещания с губернаторами </w:t>
      </w:r>
      <w:r>
        <w:rPr>
          <w:b w:val="0"/>
          <w:bCs w:val="0"/>
          <w:color w:val="292c2f"/>
          <w:highlight w:val="none"/>
          <w14:ligatures w14:val="none"/>
        </w:rPr>
        <w:t xml:space="preserve">Владимиром Сальдо</w:t>
      </w:r>
      <w:r>
        <w:rPr>
          <w:b w:val="0"/>
          <w:bCs w:val="0"/>
          <w:color w:val="292c2f"/>
          <w:highlight w:val="none"/>
          <w14:ligatures w14:val="none"/>
        </w:rPr>
        <w:t xml:space="preserve"> и </w:t>
      </w:r>
      <w:r>
        <w:rPr>
          <w:b w:val="0"/>
          <w:bCs w:val="0"/>
          <w:color w:val="292c2f"/>
          <w:highlight w:val="none"/>
          <w14:ligatures w14:val="none"/>
        </w:rPr>
        <w:t xml:space="preserve">Евгением Балицким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«Масштабная работа проводится в рамках сплошной инвентаризации объектов недвижимости.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Специалисты изучают документальные источники об объектах и сравнивают фактические данные на местности. На сегодняшний день завершены работы в 8 205 кадастровых кварталах. С начала реализации проекта на основании архивных документов в ЕГРН внесены сведения </w:t>
      </w:r>
      <w:r>
        <w:rPr>
          <w:b w:val="0"/>
          <w:bCs w:val="0"/>
          <w:color w:val="292c2f"/>
          <w:highlight w:val="none"/>
          <w14:ligatures w14:val="none"/>
        </w:rPr>
        <w:t xml:space="preserve">в отношении 2 млн ранее учтенных объектов – до конца года будет внесено еще 1,2 млн. Дополнительно в рамках обхода территорий выявлено 491,9 тыс. объектов, сведения о которых также внесены в реестр недвижимости. По 119 тыс. объектам в ЕГРН уточнены характе</w:t>
      </w:r>
      <w:r>
        <w:rPr>
          <w:b w:val="0"/>
          <w:bCs w:val="0"/>
          <w:color w:val="292c2f"/>
          <w:highlight w:val="none"/>
          <w14:ligatures w14:val="none"/>
        </w:rPr>
        <w:t xml:space="preserve">ристики. Также мы выявили 240, 6 тыс. га неиспользуемых территорий, которые можно вовлечь в оборот», - </w:t>
      </w:r>
      <w:r>
        <w:rPr>
          <w:b w:val="0"/>
          <w:bCs w:val="0"/>
          <w:color w:val="292c2f"/>
          <w:highlight w:val="none"/>
          <w14:ligatures w14:val="none"/>
        </w:rPr>
        <w:t xml:space="preserve">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Смирнов</w:t>
      </w:r>
      <w:r>
        <w:rPr>
          <w:b w:val="0"/>
          <w:bCs w:val="0"/>
          <w:color w:val="292c2f"/>
          <w:highlight w:val="none"/>
          <w14:ligatures w14:val="none"/>
        </w:rPr>
        <w:t xml:space="preserve">, отметив, что работу по сплошной инвентаризации планируется завершить до конца 2026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Ключевой темой обсуждения стало внедрение в воссоединенных регионах Единой цифровой платформы «Национальная система пространственных данных», что позволит выстроить эффективные цифровые процессы управления и планирования территориями, а также повысить их и</w:t>
      </w:r>
      <w:r>
        <w:rPr>
          <w:b w:val="0"/>
          <w:bCs w:val="0"/>
          <w:color w:val="292c2f"/>
          <w:highlight w:val="none"/>
          <w14:ligatures w14:val="none"/>
        </w:rPr>
        <w:t xml:space="preserve">нвестиционную привлекательность.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настоящее время разработан соответствующий проект дорожной карты. В каждом из четырех субъектов будут определены пилотные муниципальные образования по внедрению Единой цифровой платформы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ближайшее время четырем субъектам будет предоставлен доступ к сл</w:t>
      </w:r>
      <w:r>
        <w:rPr>
          <w:b w:val="0"/>
          <w:bCs w:val="0"/>
          <w:color w:val="292c2f"/>
          <w:highlight w:val="none"/>
          <w14:ligatures w14:val="none"/>
        </w:rPr>
        <w:t xml:space="preserve">оям пространственных данных НСПД с материалами сплошной инвентаризации территории, в том числе к сведениям ЕГРН, картосновам и т.д. В дальнейшем регионы смогут загрузить в систему свои генпланы, мастерпланы и проекты планировки территорий, а также использо</w:t>
      </w:r>
      <w:r>
        <w:rPr>
          <w:b w:val="0"/>
          <w:bCs w:val="0"/>
          <w:color w:val="292c2f"/>
          <w:highlight w:val="none"/>
          <w14:ligatures w14:val="none"/>
        </w:rPr>
        <w:t xml:space="preserve">вать сервисы НСПД «Земля просто» и «Индивидуальное жилищное строительство» в ходе предоставления государственных и муниципальных услуг (после разработки соответствующих административных регламентов).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«Дорожная карта по внедрению ЕЦП НСПД на территории воссоединенных субъектов РФ будет согласована с органами государственной власти данных регионов в течение ближайшего месяца. Предусмотрены конкретные решения с учетом уровня цифрой зрелости на территории </w:t>
      </w:r>
      <w:r>
        <w:rPr>
          <w:b w:val="0"/>
          <w:bCs w:val="0"/>
          <w:color w:val="292c2f"/>
          <w:highlight w:val="none"/>
          <w14:ligatures w14:val="none"/>
        </w:rPr>
        <w:t xml:space="preserve">каждого из воссоединенных субъектов», - сказал советник генерального директора ППК «Роскадастр» </w:t>
      </w:r>
      <w:r>
        <w:rPr>
          <w:b w:val="0"/>
          <w:bCs w:val="0"/>
          <w:color w:val="292c2f"/>
          <w:highlight w:val="none"/>
          <w14:ligatures w14:val="none"/>
        </w:rPr>
        <w:t xml:space="preserve">Дмитрий Ферапонтов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Ранее, выступая на итоговой коллегии Росреестра в апреле 2025 года, руководитель ведомства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 </w:t>
      </w:r>
      <w:hyperlink r:id="rId18" w:tooltip="https://rosreestr.gov.ru/press/archive/rosreestr-podvyel-itogi-za-2024-god-i-opredelil-prioritety-na-2025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заявил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, что объем оказанных услуг на территории воссоединенных субъектов вырос в 4,5 раза по сравнению с 2023 годом и составил около 3 млн. С сентября 2024 года для жителей новых территорий обеспечена возможность получить основные услуги в электронном виде на По</w:t>
      </w:r>
      <w:r>
        <w:rPr>
          <w:b w:val="0"/>
          <w:bCs w:val="0"/>
          <w:color w:val="292c2f"/>
          <w:highlight w:val="none"/>
          <w14:ligatures w14:val="none"/>
        </w:rPr>
        <w:t xml:space="preserve">ртале госуслуг. Среди них регистрация возникновения права собственности, внесение изменений в реестр прав, уточнение границ земельных участков и кадастровый учет. Также с учетом востребованности в ближайшее время будут открыты экстерриториальные окна прием</w:t>
      </w:r>
      <w:r>
        <w:rPr>
          <w:b w:val="0"/>
          <w:bCs w:val="0"/>
          <w:color w:val="292c2f"/>
          <w:highlight w:val="none"/>
          <w14:ligatures w14:val="none"/>
        </w:rPr>
        <w:t xml:space="preserve">а по услугам Росреестра в МФЦ Краснодара и в Крыму.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2. </w:t>
      </w:r>
      <w:r>
        <w:rPr>
          <w:b/>
          <w:bCs/>
          <w:color w:val="292c2f"/>
          <w:highlight w:val="none"/>
          <w14:ligatures w14:val="none"/>
        </w:rPr>
        <w:t xml:space="preserve">Россияне получили более 33 млн экспресс-выписок из ЕГРН на портале Госуслуг.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Единый портал госуслуг помогает гражданам получать необходимые услуги быстро и качественно, в том числе в сфере строительства и ЖКХ. Так, например, с марта 2023 года на портале госуслуг Росреестром выдано более 33 млн экспресс-выписок из Единого государств</w:t>
      </w:r>
      <w:r>
        <w:rPr>
          <w:b w:val="0"/>
          <w:bCs w:val="0"/>
          <w:color w:val="292c2f"/>
          <w:highlight w:val="none"/>
          <w14:ligatures w14:val="none"/>
        </w:rPr>
        <w:t xml:space="preserve">енного реестра недвижимости (ЕГРН), сообщил Заместитель Председателя Правительства РФ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«Цифровизация помогает улучшить качество предоставления гражданам различных услуг, в том числе в сфере недвижимости. На «Витрине данных ЕГРН» есть возможность бесплатно в режиме онлайн заказать экспресс-выписку. В отличие от обычной выписки, срок изготовле</w:t>
      </w:r>
      <w:r>
        <w:rPr>
          <w:b w:val="0"/>
          <w:bCs w:val="0"/>
          <w:color w:val="292c2f"/>
          <w:highlight w:val="none"/>
          <w14:ligatures w14:val="none"/>
        </w:rPr>
        <w:t xml:space="preserve">ния которой занимает до трех рабочих дней, экспресс-выписка формируется в течение нескольких секунд, что очень удобно. За два с лишним года действия услуги мы наблюдаем стабильную динамику: в 2023 году выдано 13,2 млн экспресс-выписок, в 2024-м – 13,8 млн.</w:t>
      </w:r>
      <w:r>
        <w:rPr>
          <w:b w:val="0"/>
          <w:bCs w:val="0"/>
          <w:color w:val="292c2f"/>
          <w:highlight w:val="none"/>
          <w14:ligatures w14:val="none"/>
        </w:rPr>
        <w:t xml:space="preserve"> За первое полугодие этого года жители страны получили еще 6 млн выписок. Экспресс-выписка обладает той же юридической силой, что и документ, заказанный в МФЦ»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Как сообщил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, в целом по сравнению с 2020 годом доля электронных услуг Росреестра выросла более чем в 3 раза – до 67%. </w:t>
      </w:r>
      <w:r>
        <w:rPr>
          <w:b w:val="0"/>
          <w:bCs w:val="0"/>
          <w:color w:val="292c2f"/>
          <w:highlight w:val="none"/>
          <w14:ligatures w14:val="none"/>
        </w:rPr>
        <w:t xml:space="preserve">«Доля электронной ипотеки увеличилась в 10 раз – до 90%, а доля электронной регистрации договоров долевого участия - в 5 раз, до 99,9%. Это позволило повысить доступность и удобство получения государственных услуг в сфере земли и недвижимости»,</w:t>
      </w:r>
      <w:r>
        <w:rPr>
          <w:b w:val="0"/>
          <w:bCs w:val="0"/>
          <w:color w:val="292c2f"/>
          <w:highlight w:val="none"/>
          <w14:ligatures w14:val="none"/>
        </w:rPr>
        <w:t xml:space="preserve"> - отметил глава ведомства.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целом, наиболее востребованными среди россиян с начала 2025 года стали выписки из ЕГРН о правах отдельного лица на имевшиеся (имеющиеся) у него объекты недвижимости. За 6 месяцев 2025 года их предоставлено более 38 млн. Это 3</w:t>
      </w:r>
      <w:r>
        <w:rPr>
          <w:b w:val="0"/>
          <w:bCs w:val="0"/>
          <w:color w:val="292c2f"/>
          <w:highlight w:val="none"/>
          <w14:ligatures w14:val="none"/>
        </w:rPr>
        <w:t xml:space="preserve">5,7% от общего количества всех выданных выписок из ЕГРН. Они позволяют подтвердить, какой недвижимостью владел человек в определенный период времени.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втором месте - выписки из ЕГРН об объекте недвижимости, в которых содержится информация о характеристи</w:t>
      </w:r>
      <w:r>
        <w:rPr>
          <w:b w:val="0"/>
          <w:bCs w:val="0"/>
          <w:color w:val="292c2f"/>
          <w:highlight w:val="none"/>
          <w14:ligatures w14:val="none"/>
        </w:rPr>
        <w:t xml:space="preserve">ках объекта. С января по июнь 2025 года их выдано более 32 млн, что на 4% больше аналогичного периода прошлого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третьем месте - выписки из ЕГРН об основных характеристиках и зарегистрированных правах на объект недвижимости, в которых представлена </w:t>
      </w:r>
      <w:r>
        <w:rPr>
          <w:b w:val="0"/>
          <w:bCs w:val="0"/>
          <w:color w:val="292c2f"/>
          <w:highlight w:val="none"/>
          <w14:ligatures w14:val="none"/>
        </w:rPr>
        <w:t xml:space="preserve">самая полная общедоступная информация об объекте. За 6 месяцев 2025 года предоставлено 22,8 млн. таких документов.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3.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Президент РФ подписал закон о проведении кадастровой оценки с помощью НСПД.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Президент России Владимир Путин подписал разработанный Росреестром </w:t>
      </w:r>
      <w:hyperlink r:id="rId19" w:tooltip="http://publication.pravo.gov.ru/document/0001202507230048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Федеральный закон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от 23.07.2025 № 243-ФЗ, согласно которому государственная кадастровая оценка во всех субъектах Российской Федерации будет проводиться с использованием Национальной системы пространственных данных (НСПД).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Закон был принят Государственной Думой во втором и</w:t>
      </w:r>
      <w:r>
        <w:rPr>
          <w:b w:val="0"/>
          <w:bCs w:val="0"/>
          <w:color w:val="292c2f"/>
          <w:highlight w:val="none"/>
          <w14:ligatures w14:val="none"/>
        </w:rPr>
        <w:t xml:space="preserve"> третьем чтениях 9 июля 2025 года и одобрен Советом Федерации 16 июля 2025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настоящее время важной задачей при проведении КО является наличие единой платформы для взаимодействия участников оценки. Сегодня государственные бюджетные учреждения исполь</w:t>
      </w:r>
      <w:r>
        <w:rPr>
          <w:b w:val="0"/>
          <w:bCs w:val="0"/>
          <w:color w:val="292c2f"/>
          <w:highlight w:val="none"/>
          <w14:ligatures w14:val="none"/>
        </w:rPr>
        <w:t xml:space="preserve">зуют различные программные продукты. При этом единые требования к программному обеспечению для определения кадастровой стоимости законодательно не установлены.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отсутствуют структурированные сведения об объекте оценки, используемые при расчете </w:t>
      </w:r>
      <w:r>
        <w:rPr>
          <w:b w:val="0"/>
          <w:bCs w:val="0"/>
          <w:color w:val="292c2f"/>
          <w:highlight w:val="none"/>
          <w14:ligatures w14:val="none"/>
        </w:rPr>
        <w:t xml:space="preserve">кадастровой стоимости, которые были бы доступны и понятны для потребителей. Это приводит к непрозрачности алгоритмов расчета кадастровой стоимости.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«Перед Росреестром стоит задача по оптимизации и развитию системы кадастровой оценки. Важно, чтобы кадастровая стоимость объектов недвижимости определялась объективно и была экономически обоснована. Согласно закону, с 1 января 2026 года кадастровая оценка </w:t>
      </w:r>
      <w:r>
        <w:rPr>
          <w:b w:val="0"/>
          <w:bCs w:val="0"/>
          <w:color w:val="292c2f"/>
          <w:highlight w:val="none"/>
          <w14:ligatures w14:val="none"/>
        </w:rPr>
        <w:t xml:space="preserve">в субъектах РФ будет проводиться с использованием единого программного обеспечения – платформы НСПД. Все участники будут взаимодействовать в рамках единой системы на основе актуальных данных»,</w:t>
      </w:r>
      <w:r>
        <w:rPr>
          <w:b w:val="0"/>
          <w:bCs w:val="0"/>
          <w:color w:val="292c2f"/>
          <w:highlight w:val="none"/>
          <w14:ligatures w14:val="none"/>
        </w:rPr>
        <w:t xml:space="preserve"> - сказал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результате сократится количество ошибок, повысится точность результатов кадастровой оценки, прозрачность алгоритмов ее расчета и эффективность всех процессов в целом.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Также предусмотрена возможность для бюджетных учреждений использовать в 2026 и 2027</w:t>
      </w:r>
      <w:r>
        <w:rPr>
          <w:b w:val="0"/>
          <w:bCs w:val="0"/>
          <w:color w:val="292c2f"/>
          <w:highlight w:val="none"/>
          <w14:ligatures w14:val="none"/>
        </w:rPr>
        <w:t xml:space="preserve"> годах при определении кадастровой стоимости информационные системы, которые применялись для проведения кадастровой оценки в предыдущих турах оценки. Это необходимо для корректной миграции данных об объектах недвижимости, минимизации возможных ошибок при о</w:t>
      </w:r>
      <w:r>
        <w:rPr>
          <w:b w:val="0"/>
          <w:bCs w:val="0"/>
          <w:color w:val="292c2f"/>
          <w:highlight w:val="none"/>
          <w14:ligatures w14:val="none"/>
        </w:rPr>
        <w:t xml:space="preserve">пределении кадастровой стоимости, а также для плавного перехода на использование платформы НСПД.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процесс информационного взаимодействия также будут вовлечены правообладатели объектов недвижимости, что станет основой для развития сервисов обратной связи </w:t>
      </w:r>
      <w:r>
        <w:rPr>
          <w:b w:val="0"/>
          <w:bCs w:val="0"/>
          <w:color w:val="292c2f"/>
          <w:highlight w:val="none"/>
          <w14:ligatures w14:val="none"/>
        </w:rPr>
        <w:t xml:space="preserve">с заявителями. Кроме того, закон будет способствовать сокращению бюджетных расходов на проведение работ.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Напомним, в июле 2020 года был принят </w:t>
      </w:r>
      <w:hyperlink r:id="rId20" w:tooltip="http://www.consultant.ru/document/cons_doc_LAW_358790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Федеральный закон № 269-ФЗ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, согласно которому государственная кадастровая оценка теперь проводится раз в 4 года, а в городах федерального значения - раз в 2 года (в случае принятия такого решения). В 2026 году в рамках очередного цикла ГКО состоится кадастровая оценка земельных уча</w:t>
      </w:r>
      <w:r>
        <w:rPr>
          <w:b w:val="0"/>
          <w:bCs w:val="0"/>
          <w:color w:val="292c2f"/>
          <w:highlight w:val="none"/>
          <w14:ligatures w14:val="none"/>
        </w:rPr>
        <w:t xml:space="preserve">стков на территории 85 регионов России. В 2027 году пройдет оценка объектов капитального строительства, зданий, помещений, сооружений, объектов незавершенного строительства и машино-мест.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4. </w:t>
      </w:r>
      <w:r>
        <w:rPr>
          <w:b/>
          <w:bCs/>
          <w:color w:val="292c2f"/>
          <w:highlight w:val="none"/>
          <w14:ligatures w14:val="none"/>
        </w:rPr>
        <w:t xml:space="preserve">С начала «гаражной амнистии» россияне оформили более 605 тыс. объектов.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начала действия закона о «гаражной амнистии» Росреестром по всей стране зарегистрировано более 605 тыс. объектов. Оформить по упрощённой схеме незарегистрированный гараж и землю под ним можно до 1 сентября 2026 года, сообщил Заместитель Председателя Прав</w:t>
      </w:r>
      <w:r>
        <w:rPr>
          <w:b w:val="0"/>
          <w:bCs w:val="0"/>
          <w:color w:val="292c2f"/>
          <w:highlight w:val="none"/>
          <w14:ligatures w14:val="none"/>
        </w:rPr>
        <w:t xml:space="preserve">ительства РФ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«Президент подписал закон о «гаражной амнистии» в апреле 2021 года, он стал важной мерой поддержки россиян, которые получили возможность оформить по упрощённой схеме незарегистрированный гараж и землю под ним. Почти за 4 года реализации «гаражная амнистия»</w:t>
      </w:r>
      <w:r>
        <w:rPr>
          <w:b w:val="0"/>
          <w:bCs w:val="0"/>
          <w:color w:val="292c2f"/>
          <w:highlight w:val="none"/>
          <w14:ligatures w14:val="none"/>
        </w:rPr>
        <w:t xml:space="preserve"> продолжает показывать свою востребованность среди населения. В упрощённом порядке оформлено уже более 605 тыс. объектов, в том числе 205 тыс. гаражей и 400 тыс. земельных участков под ними. Эта работа направлена на защиту прав и интересов граждан, а также</w:t>
      </w:r>
      <w:r>
        <w:rPr>
          <w:b w:val="0"/>
          <w:bCs w:val="0"/>
          <w:color w:val="292c2f"/>
          <w:highlight w:val="none"/>
          <w14:ligatures w14:val="none"/>
        </w:rPr>
        <w:t xml:space="preserve"> стимулирует развитие рынка недвижимости»,</w:t>
      </w:r>
      <w:r>
        <w:rPr>
          <w:b w:val="0"/>
          <w:bCs w:val="0"/>
          <w:color w:val="292c2f"/>
          <w:highlight w:val="none"/>
          <w14:ligatures w14:val="none"/>
        </w:rPr>
        <w:t xml:space="preserve"> - отметил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словам вице-премьера, больше всего гаражей с начала реализации закона зарегистрировали в Омской (12,9 тыс.), Московской (9,2 тыс.), Тюменской (8,9 тыс.), Саратовской (8,4 тыс.) областях и Республике Татарстан (8,2 тыс.). Лидерами по числу оформленных</w:t>
      </w:r>
      <w:r>
        <w:rPr>
          <w:b w:val="0"/>
          <w:bCs w:val="0"/>
          <w:color w:val="292c2f"/>
          <w:highlight w:val="none"/>
          <w14:ligatures w14:val="none"/>
        </w:rPr>
        <w:t xml:space="preserve"> земельных участков под гаражами стали Тюменская (21,1 тыс.), Московская (20 тыс.), Саратовская (17,3 тыс.) области, Пермский край (15,5 тыс.) и Омская область (13,7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«За первое полугодие 2025 года зарегистрировано почти 87 тыс. объектов (25 тыс. гаражей и 62 тыс. земельных участков под ними), что сопоставимо с аналогичным периодом годом ранее (99 тыс. объектов – 33 тыс. гаражей и 66 тыс. земельных участков). Также допо</w:t>
      </w:r>
      <w:r>
        <w:rPr>
          <w:b w:val="0"/>
          <w:bCs w:val="0"/>
          <w:color w:val="292c2f"/>
          <w:highlight w:val="none"/>
          <w14:ligatures w14:val="none"/>
        </w:rPr>
        <w:t xml:space="preserve">лнительно включены сведения о 27,8 тыс. объектах, в отношении которых в ЕГРН внесены изменения в сведения о виде объекта недвижимости, благодаря чему собственники смогут оформить землю под гаражами»,</w:t>
      </w:r>
      <w:r>
        <w:rPr>
          <w:b w:val="0"/>
          <w:bCs w:val="0"/>
          <w:color w:val="292c2f"/>
          <w:highlight w:val="none"/>
          <w14:ligatures w14:val="none"/>
        </w:rPr>
        <w:t xml:space="preserve"> - отметил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информирования людей о том, как воспользоваться «гаражной амнистией», Росреестр проводит в регионах методическую и разъяснительную работу. Отлажены все механизмы и технологии, исключены бюрократические барьеры, и у граждан есть все возможности стать</w:t>
      </w:r>
      <w:r>
        <w:rPr>
          <w:b w:val="0"/>
          <w:bCs w:val="0"/>
          <w:color w:val="292c2f"/>
          <w:highlight w:val="none"/>
          <w14:ligatures w14:val="none"/>
        </w:rPr>
        <w:t xml:space="preserve"> законными владельцами своих гаражей.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«Гаражная амнистия» начала действовать с сентября 2021 года по поручению Правительства РФ. В настоящее время с учетом популярности услуги рассматривается вопрос о возможности её продления, чтобы как можно больше жител</w:t>
      </w:r>
      <w:r>
        <w:rPr>
          <w:b w:val="0"/>
          <w:bCs w:val="0"/>
          <w:color w:val="292c2f"/>
          <w:highlight w:val="none"/>
          <w14:ligatures w14:val="none"/>
        </w:rPr>
        <w:t xml:space="preserve">ей страны смогли воспользоваться данным механизмом.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5.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Вопрос – ответ: как получить землю для ИЖС с помощью сервисов НСПД и оформить жилой дом?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Построить дом на своей земле является мечтой для многих граждан, в том числе для льготных категорий. Однако на поиск земельного участка, подготовку документов, согласование размещения индивидуального жилого дома раньше уходило несколько месяцев и даже лет.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введением в эксплуатацию Единой цифровой платформы «Национальная система пространственных данных» Росреестр существенно упростил процесс выбора и оформления земли и согласования размещения индивидуального жилого дома.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этом материале подробно опишем,</w:t>
      </w:r>
      <w:r>
        <w:rPr>
          <w:b w:val="0"/>
          <w:bCs w:val="0"/>
          <w:color w:val="292c2f"/>
          <w:highlight w:val="none"/>
          <w14:ligatures w14:val="none"/>
        </w:rPr>
        <w:t xml:space="preserve"> как с помощью сервисов НСПД можно получить в собственность или в аренду земельный участок, находящийся в государственной или муниципальной собственности, и впоследствии оформить построенный на нем жилой дом.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1. Выбираем земельный участок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Первый вопрос, с которым сталкивается человек, желающий построить свой дом, это </w:t>
      </w:r>
      <w:r>
        <w:rPr>
          <w:b w:val="0"/>
          <w:bCs w:val="0"/>
          <w:color w:val="292c2f"/>
          <w:highlight w:val="none"/>
          <w14:ligatures w14:val="none"/>
        </w:rPr>
        <w:t xml:space="preserve">где взять землю.</w:t>
      </w:r>
      <w:r>
        <w:rPr>
          <w:b w:val="0"/>
          <w:bCs w:val="0"/>
          <w:color w:val="292c2f"/>
          <w:highlight w:val="none"/>
          <w14:ligatures w14:val="none"/>
        </w:rPr>
        <w:t xml:space="preserve"> Сегодня граждане могут подобрать готовый участок или территорию за пару кликов с помощью сервиса НСПД </w:t>
      </w:r>
      <w:hyperlink r:id="rId21" w:tooltip="https://nspd.gov.ru/construction-nspd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«Земля для стройки»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Сервис позволяет: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Легко находить свободные земельные участки.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Проверять их юридическую чистоту и характеристики.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Облегчать взаимодействие граждан с государственными структурами для подачи заявок и оформления документации.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Чтобы воспользоваться преимуществами сервиса, выполните шаги: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hyperlink r:id="rId22" w:tooltip="https://nspd.gov.ru/#top_section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Войдите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на портал «Национальная система пространственных данных» (</w:t>
      </w:r>
      <w:r>
        <w:rPr>
          <w:b w:val="0"/>
          <w:bCs w:val="0"/>
          <w:color w:val="292c2f"/>
          <w:highlight w:val="none"/>
          <w14:ligatures w14:val="none"/>
        </w:rPr>
        <w:t xml:space="preserve">nspd.gov.ru</w:t>
      </w:r>
      <w:r>
        <w:rPr>
          <w:b w:val="0"/>
          <w:bCs w:val="0"/>
          <w:color w:val="292c2f"/>
          <w:highlight w:val="none"/>
          <w14:ligatures w14:val="none"/>
        </w:rPr>
        <w:t xml:space="preserve">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Авторизуйтесь через аккаунт на портале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Выберите раздел «Сервисы» и откройте подраздел </w:t>
      </w:r>
      <w:hyperlink r:id="rId23" w:tooltip="https://nspd.gov.ru/construction-nspd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«Земля для стройки»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Используя фильтрацию по региону и виду разрешённого использования, выберите участок или территорию.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Просмотрите информацию о заинтересовавшем вас участке, включая его характеристики.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Как получить подробную информацию об интересующем участке или территории?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Чтобы подробнее узнать, что это за территория, можно ли здесь строить или нельзя, какие ограничения и обременения в использовании земель на ней присутствуют, пользователь прямо из сервиса «Земля для стройки» может бесшовно перейти на сервис </w:t>
      </w:r>
      <w:hyperlink r:id="rId24" w:tooltip="https://nspd.gov.ru/urban-analyze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«Градостроительная проработка онлайн»</w:t>
        </w:r>
      </w:hyperlink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Инструмент позволяет провести автоматический пространственный анализ земельного участка или территории на предмет градостроительных ограничений.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Раньше, чтобы получить такую информацию, гражданам приходилось обращаться к 6-7 разрозненным информационным ресурсам, писать официальные обращения и в среднем тратить на это до месяца.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Шаг 2. Готовим схему расположения земельного участка (если земельный участок не образован)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Схема расположения земельного участка необходима, поскольку ее нужно подать в уполномоченный орган вместе с заявлением о предварительном согласовании предоставлении земельного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земельный участок не образован (у него нет кадастрового номера и границ), вы можете нарисовать его самостоятельно на выбранной территории.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этого необходимо: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Выбрать территорию в сервисе «Земля для стройки» и совершить бесшовный переход на сервис </w:t>
      </w:r>
      <w:hyperlink r:id="rId25" w:tooltip="https://nspd.gov.ru/land-nspd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«Земля просто»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Нарисовать контуры желаемого участка на карте.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Система автоматически проверит его на соответствие требованиям к образованию земельных участков и подготовит схему в виде электронного документа.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Скачать готовый файл в формате PDF или загрузить его на Портал госуслуг для дальнейшей подачи заявления в уполномоченный орган.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Ранее для подготовки схемы людям приходилось обращаться к кадастровым инженерам, тратить на это от 15 до 30 тыс. рублей и ждать не менее недели. Сейчас такую схему можно нарисовать всего за 3 минуты.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3. Направляем заявление в уполномоченный орган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Далее нужно подать </w:t>
      </w:r>
      <w:r>
        <w:rPr>
          <w:b w:val="0"/>
          <w:bCs w:val="0"/>
          <w:color w:val="292c2f"/>
          <w:highlight w:val="none"/>
          <w14:ligatures w14:val="none"/>
        </w:rPr>
        <w:t xml:space="preserve">заявление </w:t>
      </w:r>
      <w:r>
        <w:rPr>
          <w:b w:val="0"/>
          <w:bCs w:val="0"/>
          <w:color w:val="292c2f"/>
          <w:highlight w:val="none"/>
          <w14:ligatures w14:val="none"/>
        </w:rPr>
        <w:t xml:space="preserve">в уполномоченный орган</w:t>
      </w:r>
      <w:r>
        <w:rPr>
          <w:b w:val="0"/>
          <w:bCs w:val="0"/>
          <w:color w:val="292c2f"/>
          <w:highlight w:val="none"/>
          <w14:ligatures w14:val="none"/>
        </w:rPr>
        <w:t xml:space="preserve"> о предварительном согласовании предоставления земельного участка</w:t>
      </w:r>
      <w:r>
        <w:rPr>
          <w:b w:val="0"/>
          <w:bCs w:val="0"/>
          <w:color w:val="292c2f"/>
          <w:highlight w:val="none"/>
          <w14:ligatures w14:val="none"/>
        </w:rPr>
        <w:t xml:space="preserve">. Для этого НСПД автоматически перенаправит вас на Портал госуслуг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Уполномоченный орган размещает уведомление о поступившем заявлении. Если после этого </w:t>
      </w:r>
      <w:r>
        <w:rPr>
          <w:b w:val="0"/>
          <w:bCs w:val="0"/>
          <w:color w:val="292c2f"/>
          <w:highlight w:val="none"/>
          <w14:ligatures w14:val="none"/>
        </w:rPr>
        <w:t xml:space="preserve">другие лица не направили</w:t>
      </w:r>
      <w:r>
        <w:rPr>
          <w:b w:val="0"/>
          <w:bCs w:val="0"/>
          <w:color w:val="292c2f"/>
          <w:highlight w:val="none"/>
          <w14:ligatures w14:val="none"/>
        </w:rPr>
        <w:t xml:space="preserve"> заявления о желании получить данный земельный участок, уполномоченный орган </w:t>
      </w:r>
      <w:r>
        <w:rPr>
          <w:b w:val="0"/>
          <w:bCs w:val="0"/>
          <w:color w:val="292c2f"/>
          <w:highlight w:val="none"/>
          <w14:ligatures w14:val="none"/>
        </w:rPr>
        <w:t xml:space="preserve">в течение 20 дней принимает решение об утверждении </w:t>
      </w:r>
      <w:r>
        <w:rPr>
          <w:b w:val="0"/>
          <w:bCs w:val="0"/>
          <w:color w:val="292c2f"/>
          <w:highlight w:val="none"/>
          <w14:ligatures w14:val="none"/>
        </w:rPr>
        <w:t xml:space="preserve">схемы расположения участка и предварительном согласовании предоставления участка без торгов.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после подачи заявления о предварительном согласовании предоставления земельного участка </w:t>
      </w:r>
      <w:r>
        <w:rPr>
          <w:b w:val="0"/>
          <w:bCs w:val="0"/>
          <w:color w:val="292c2f"/>
          <w:highlight w:val="none"/>
          <w14:ligatures w14:val="none"/>
        </w:rPr>
        <w:t xml:space="preserve">поступили заявления от других заинтересованных лиц</w:t>
      </w:r>
      <w:r>
        <w:rPr>
          <w:b w:val="0"/>
          <w:bCs w:val="0"/>
          <w:color w:val="292c2f"/>
          <w:highlight w:val="none"/>
          <w14:ligatures w14:val="none"/>
        </w:rPr>
        <w:t xml:space="preserve">, то участок будет предоставляться </w:t>
      </w:r>
      <w:r>
        <w:rPr>
          <w:b w:val="0"/>
          <w:bCs w:val="0"/>
          <w:color w:val="292c2f"/>
          <w:highlight w:val="none"/>
          <w14:ligatures w14:val="none"/>
        </w:rPr>
        <w:t xml:space="preserve">на конкурентных условиях</w:t>
      </w:r>
      <w:r>
        <w:rPr>
          <w:b w:val="0"/>
          <w:bCs w:val="0"/>
          <w:color w:val="292c2f"/>
          <w:highlight w:val="none"/>
          <w14:ligatures w14:val="none"/>
        </w:rPr>
        <w:t xml:space="preserve"> согласно Земельному кодексу РФ. В этом случае вам потребуется принять участие </w:t>
      </w:r>
      <w:r>
        <w:rPr>
          <w:b w:val="0"/>
          <w:bCs w:val="0"/>
          <w:color w:val="292c2f"/>
          <w:highlight w:val="none"/>
          <w14:ligatures w14:val="none"/>
        </w:rPr>
        <w:t xml:space="preserve">в торгах</w:t>
      </w:r>
      <w:r>
        <w:rPr>
          <w:b w:val="0"/>
          <w:bCs w:val="0"/>
          <w:color w:val="292c2f"/>
          <w:highlight w:val="none"/>
          <w14:ligatures w14:val="none"/>
        </w:rPr>
        <w:t xml:space="preserve">, по результатам которых победитель получает участок в аренду или собственность.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этом случае уполномоченный орган </w:t>
      </w:r>
      <w:r>
        <w:rPr>
          <w:b w:val="0"/>
          <w:bCs w:val="0"/>
          <w:color w:val="292c2f"/>
          <w:highlight w:val="none"/>
          <w14:ligatures w14:val="none"/>
        </w:rPr>
        <w:t xml:space="preserve">самостоятельно проведет кадастровые работы</w:t>
      </w:r>
      <w:r>
        <w:rPr>
          <w:b w:val="0"/>
          <w:bCs w:val="0"/>
          <w:color w:val="292c2f"/>
          <w:highlight w:val="none"/>
          <w14:ligatures w14:val="none"/>
        </w:rPr>
        <w:t xml:space="preserve"> в отношении земельного участка, а </w:t>
      </w:r>
      <w:r>
        <w:rPr>
          <w:b w:val="0"/>
          <w:bCs w:val="0"/>
          <w:color w:val="292c2f"/>
          <w:highlight w:val="none"/>
          <w14:ligatures w14:val="none"/>
        </w:rPr>
        <w:t xml:space="preserve">если вы станете победителем</w:t>
      </w:r>
      <w:r>
        <w:rPr>
          <w:b w:val="0"/>
          <w:bCs w:val="0"/>
          <w:color w:val="292c2f"/>
          <w:highlight w:val="none"/>
          <w14:ligatures w14:val="none"/>
        </w:rPr>
        <w:t xml:space="preserve"> аукциона – </w:t>
      </w:r>
      <w:r>
        <w:rPr>
          <w:b w:val="0"/>
          <w:bCs w:val="0"/>
          <w:color w:val="292c2f"/>
          <w:highlight w:val="none"/>
          <w14:ligatures w14:val="none"/>
        </w:rPr>
        <w:t xml:space="preserve">обратится в Росреестр за регистрацией права</w:t>
      </w:r>
      <w:r>
        <w:rPr>
          <w:b w:val="0"/>
          <w:bCs w:val="0"/>
          <w:color w:val="292c2f"/>
          <w:highlight w:val="none"/>
          <w14:ligatures w14:val="none"/>
        </w:rPr>
        <w:t xml:space="preserve"> собственности (аренды) на ваш участок.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№4. Проводим кадастровые работы (если участок предоставляется без торгов)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Если схема расположения участка утверждена, и решение о предварительном согласовании предоставления земельного участка без торгов принято (соответствующее уведомление поступит вам в личный кабинет на Портале госуслуг), далее вам необходимо </w:t>
      </w:r>
      <w:r>
        <w:rPr>
          <w:b w:val="0"/>
          <w:bCs w:val="0"/>
          <w:color w:val="292c2f"/>
          <w:highlight w:val="none"/>
          <w14:ligatures w14:val="none"/>
        </w:rPr>
        <w:t xml:space="preserve">провести кадастровые работы и подготовить межевой план</w:t>
      </w:r>
      <w:r>
        <w:rPr>
          <w:b w:val="0"/>
          <w:bCs w:val="0"/>
          <w:color w:val="292c2f"/>
          <w:highlight w:val="none"/>
          <w14:ligatures w14:val="none"/>
        </w:rPr>
        <w:t xml:space="preserve">, чтобы поставить земельный участок на кадастровый учет.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этого нужно </w:t>
      </w:r>
      <w:r>
        <w:rPr>
          <w:b w:val="0"/>
          <w:bCs w:val="0"/>
          <w:color w:val="292c2f"/>
          <w:highlight w:val="none"/>
          <w14:ligatures w14:val="none"/>
        </w:rPr>
        <w:t xml:space="preserve">найти кадастрового инженера</w:t>
      </w:r>
      <w:r>
        <w:rPr>
          <w:b w:val="0"/>
          <w:bCs w:val="0"/>
          <w:color w:val="292c2f"/>
          <w:highlight w:val="none"/>
          <w14:ligatures w14:val="none"/>
        </w:rPr>
        <w:t xml:space="preserve">. К примеру, можно обратиться в </w:t>
      </w:r>
      <w:hyperlink r:id="rId26" w:tooltip="https://kadastr.ru/services/kadastrovye-raboty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ППК «Роскадастр»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 Обратим внимание, что сроки кадастровых работ сегодня не превышают </w:t>
      </w:r>
      <w:r>
        <w:rPr>
          <w:b w:val="0"/>
          <w:bCs w:val="0"/>
          <w:color w:val="292c2f"/>
          <w:highlight w:val="none"/>
          <w14:ligatures w14:val="none"/>
        </w:rPr>
        <w:t xml:space="preserve">3-х дней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№5. Подаем заявление о предоставлении земельного участка без торгов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После постановки участка на кадастровый учет вам необходимо обратиться в уполномоченный орган с </w:t>
      </w:r>
      <w:r>
        <w:rPr>
          <w:b w:val="0"/>
          <w:bCs w:val="0"/>
          <w:color w:val="292c2f"/>
          <w:highlight w:val="none"/>
          <w14:ligatures w14:val="none"/>
        </w:rPr>
        <w:t xml:space="preserve">заявлением о предоставлении земельного участка без торгов</w:t>
      </w:r>
      <w:r>
        <w:rPr>
          <w:b w:val="0"/>
          <w:bCs w:val="0"/>
          <w:color w:val="292c2f"/>
          <w:highlight w:val="none"/>
          <w14:ligatures w14:val="none"/>
        </w:rPr>
        <w:t xml:space="preserve">. В течение </w:t>
      </w:r>
      <w:r>
        <w:rPr>
          <w:b w:val="0"/>
          <w:bCs w:val="0"/>
          <w:color w:val="292c2f"/>
          <w:highlight w:val="none"/>
          <w14:ligatures w14:val="none"/>
        </w:rPr>
        <w:t xml:space="preserve">20-ти дней</w:t>
      </w:r>
      <w:r>
        <w:rPr>
          <w:b w:val="0"/>
          <w:bCs w:val="0"/>
          <w:color w:val="292c2f"/>
          <w:highlight w:val="none"/>
          <w14:ligatures w14:val="none"/>
        </w:rPr>
        <w:t xml:space="preserve"> ваше обращение будет рассмотрено. Подать такое заявление можно на Портале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После принятия соответствующего решения либо заключения договора уполномоченный орган должен самостоятельно обратиться в Росреестр за регистрацией прав на ваш земельный у</w:t>
      </w:r>
      <w:r>
        <w:rPr>
          <w:b w:val="0"/>
          <w:bCs w:val="0"/>
          <w:color w:val="292c2f"/>
          <w:highlight w:val="none"/>
          <w14:ligatures w14:val="none"/>
        </w:rPr>
        <w:t xml:space="preserve">часток.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№6. Направляем уведомление о начале строительства жилого дома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После того, как права на участок зарегистрированы, вы можете </w:t>
      </w:r>
      <w:r>
        <w:rPr>
          <w:b w:val="0"/>
          <w:bCs w:val="0"/>
          <w:color w:val="292c2f"/>
          <w:highlight w:val="none"/>
          <w14:ligatures w14:val="none"/>
        </w:rPr>
        <w:t xml:space="preserve">приступить к строительству жилого дома</w:t>
      </w:r>
      <w:r>
        <w:rPr>
          <w:b w:val="0"/>
          <w:bCs w:val="0"/>
          <w:color w:val="292c2f"/>
          <w:highlight w:val="none"/>
          <w14:ligatures w14:val="none"/>
        </w:rPr>
        <w:t xml:space="preserve">. При этом </w:t>
      </w:r>
      <w:r>
        <w:rPr>
          <w:b w:val="0"/>
          <w:bCs w:val="0"/>
          <w:color w:val="292c2f"/>
          <w:highlight w:val="none"/>
          <w14:ligatures w14:val="none"/>
        </w:rPr>
        <w:t xml:space="preserve">важно правильно спланировать размещение будущего жилого дома</w:t>
      </w:r>
      <w:r>
        <w:rPr>
          <w:b w:val="0"/>
          <w:bCs w:val="0"/>
          <w:color w:val="292c2f"/>
          <w:highlight w:val="none"/>
          <w14:ligatures w14:val="none"/>
        </w:rPr>
        <w:t xml:space="preserve"> на земельном участке с соблюдением необходимых отступов от ограждений и всех градостроительных норм и правил.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этом вам поможет сервис </w:t>
      </w:r>
      <w:hyperlink r:id="rId27" w:tooltip="https://nspd.gov.ru/individual-housing-construction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«Индивидуальное жилищное строительство»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,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с помощью которого можно</w:t>
      </w:r>
      <w:r>
        <w:rPr>
          <w:b w:val="0"/>
          <w:bCs w:val="0"/>
          <w:color w:val="292c2f"/>
          <w:highlight w:val="none"/>
          <w14:ligatures w14:val="none"/>
        </w:rPr>
        <w:t xml:space="preserve"> подготовить схематичное изображение</w:t>
      </w:r>
      <w:r>
        <w:rPr>
          <w:b w:val="0"/>
          <w:bCs w:val="0"/>
          <w:color w:val="292c2f"/>
          <w:highlight w:val="none"/>
          <w14:ligatures w14:val="none"/>
        </w:rPr>
        <w:t xml:space="preserve"> размещения жилого дома в границах своего земельного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Сервис помогает спланировать размещение дома с учетом этажности, максимальной площади застройки и подготовить схему. Как и в предыдущих сервисах, система не позволит разместить дом с нарушениям</w:t>
      </w:r>
      <w:r>
        <w:rPr>
          <w:b w:val="0"/>
          <w:bCs w:val="0"/>
          <w:color w:val="292c2f"/>
          <w:highlight w:val="none"/>
          <w14:ligatures w14:val="none"/>
        </w:rPr>
        <w:t xml:space="preserve">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Сформированная </w:t>
      </w:r>
      <w:r>
        <w:rPr>
          <w:b w:val="0"/>
          <w:bCs w:val="0"/>
          <w:color w:val="292c2f"/>
          <w:highlight w:val="none"/>
          <w14:ligatures w14:val="none"/>
        </w:rPr>
        <w:t xml:space="preserve">схема расположения жилого дома направляется в уполномоченный орган с уведомлением о начале строительства</w:t>
      </w:r>
      <w:r>
        <w:rPr>
          <w:b w:val="0"/>
          <w:bCs w:val="0"/>
          <w:color w:val="292c2f"/>
          <w:highlight w:val="none"/>
          <w14:ligatures w14:val="none"/>
        </w:rPr>
        <w:t xml:space="preserve"> через Портал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</w:t>
      </w:r>
      <w:r>
        <w:rPr>
          <w:b w:val="0"/>
          <w:bCs w:val="0"/>
          <w:color w:val="292c2f"/>
          <w:highlight w:val="none"/>
          <w14:ligatures w14:val="none"/>
        </w:rPr>
        <w:t xml:space="preserve">7-</w:t>
      </w:r>
      <w:r>
        <w:rPr>
          <w:b w:val="0"/>
          <w:bCs w:val="0"/>
          <w:color w:val="292c2f"/>
          <w:highlight w:val="none"/>
          <w14:ligatures w14:val="none"/>
        </w:rPr>
        <w:t xml:space="preserve">дневный срок уполномоченный орган уведомляет о соответствии планируемого жилого дома нормативным требованиям.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строительства индивидуального жилого дома собственнику земельного участка предоставляется в целом </w:t>
      </w:r>
      <w:r>
        <w:rPr>
          <w:b w:val="0"/>
          <w:bCs w:val="0"/>
          <w:color w:val="292c2f"/>
          <w:highlight w:val="none"/>
          <w14:ligatures w14:val="none"/>
        </w:rPr>
        <w:t xml:space="preserve">10 лет</w:t>
      </w:r>
      <w:r>
        <w:rPr>
          <w:b w:val="0"/>
          <w:bCs w:val="0"/>
          <w:color w:val="292c2f"/>
          <w:highlight w:val="none"/>
          <w14:ligatures w14:val="none"/>
        </w:rPr>
        <w:t xml:space="preserve">, в том числе: </w:t>
      </w:r>
      <w:r>
        <w:rPr>
          <w:b w:val="0"/>
          <w:bCs w:val="0"/>
          <w:color w:val="292c2f"/>
          <w:highlight w:val="none"/>
          <w14:ligatures w14:val="none"/>
        </w:rPr>
        <w:t xml:space="preserve">3 года </w:t>
      </w:r>
      <w:r>
        <w:rPr>
          <w:b w:val="0"/>
          <w:bCs w:val="0"/>
          <w:color w:val="292c2f"/>
          <w:highlight w:val="none"/>
          <w14:ligatures w14:val="none"/>
        </w:rPr>
        <w:t xml:space="preserve">– на освоение земельного участка (при необходимости) и 7 лет – непосредственно на строительство дома.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Шаг №7. Регистрируем право собственности на построенный дом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После завершения строительства </w:t>
      </w:r>
      <w:r>
        <w:rPr>
          <w:b w:val="0"/>
          <w:bCs w:val="0"/>
          <w:color w:val="292c2f"/>
          <w:highlight w:val="none"/>
          <w14:ligatures w14:val="none"/>
        </w:rPr>
        <w:t xml:space="preserve">человек должен </w:t>
      </w:r>
      <w:r>
        <w:rPr>
          <w:b w:val="0"/>
          <w:bCs w:val="0"/>
          <w:color w:val="292c2f"/>
          <w:highlight w:val="none"/>
          <w14:ligatures w14:val="none"/>
        </w:rPr>
        <w:t xml:space="preserve">зарегистрировать </w:t>
      </w:r>
      <w:r>
        <w:rPr>
          <w:b w:val="0"/>
          <w:bCs w:val="0"/>
          <w:color w:val="292c2f"/>
          <w:highlight w:val="none"/>
          <w14:ligatures w14:val="none"/>
        </w:rPr>
        <w:t xml:space="preserve">свой дом. В первую очередь, для защиты своих же законных прав и интересов, чтобы избежать возможных юридических проблем в будущем.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этого необходимо </w:t>
      </w:r>
      <w:r>
        <w:rPr>
          <w:b w:val="0"/>
          <w:bCs w:val="0"/>
          <w:color w:val="292c2f"/>
          <w:highlight w:val="none"/>
          <w14:ligatures w14:val="none"/>
        </w:rPr>
        <w:t xml:space="preserve">подготовить технический план</w:t>
      </w:r>
      <w:r>
        <w:rPr>
          <w:b w:val="0"/>
          <w:bCs w:val="0"/>
          <w:color w:val="292c2f"/>
          <w:highlight w:val="none"/>
          <w14:ligatures w14:val="none"/>
        </w:rPr>
        <w:t xml:space="preserve"> построенного дома и направить </w:t>
      </w:r>
      <w:r>
        <w:rPr>
          <w:b w:val="0"/>
          <w:bCs w:val="0"/>
          <w:color w:val="292c2f"/>
          <w:highlight w:val="none"/>
          <w14:ligatures w14:val="none"/>
        </w:rPr>
        <w:t xml:space="preserve">уведомление об окончании строительства </w:t>
      </w:r>
      <w:r>
        <w:rPr>
          <w:b w:val="0"/>
          <w:bCs w:val="0"/>
          <w:color w:val="292c2f"/>
          <w:highlight w:val="none"/>
          <w14:ligatures w14:val="none"/>
        </w:rPr>
        <w:t xml:space="preserve">в уполномоченный орган. Технический план также готовят кадастровые инженеры, в том числе инженеры </w:t>
      </w:r>
      <w:hyperlink r:id="rId28" w:tooltip="https://kadastr.ru/services/kadastrovye-raboty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ППК «Роскадастр».</w:t>
        </w:r>
      </w:hyperlink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Направить уведомление можно также с помощью Портала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все документы в порядке, </w:t>
      </w:r>
      <w:r>
        <w:rPr>
          <w:b w:val="0"/>
          <w:bCs w:val="0"/>
          <w:color w:val="292c2f"/>
          <w:highlight w:val="none"/>
          <w14:ligatures w14:val="none"/>
        </w:rPr>
        <w:t xml:space="preserve">уполномоченный орган самостоятельно подает документы в Росреестр </w:t>
      </w:r>
      <w:r>
        <w:rPr>
          <w:b w:val="0"/>
          <w:bCs w:val="0"/>
          <w:color w:val="292c2f"/>
          <w:highlight w:val="none"/>
          <w14:ligatures w14:val="none"/>
        </w:rPr>
        <w:t xml:space="preserve">для кадастрового учета и регистрации вашего права собственности на построенный жилой дом.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подать документы на кадастровый учет и регистрацию прав вы можете самостоятельно – в личном кабинете на сайте Росреестра либо в МФЦ.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6. </w:t>
      </w:r>
      <w:r>
        <w:rPr>
          <w:b/>
          <w:bCs/>
          <w:color w:val="292c2f"/>
          <w:highlight w:val="none"/>
          <w14:ligatures w14:val="none"/>
        </w:rPr>
        <w:t xml:space="preserve">Правительство законодательно закрепило возможность использования Росреестром беспилотников для проведения госземнадзора.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Правительством РФ принято </w:t>
      </w:r>
      <w:hyperlink r:id="rId29" w:tooltip="http://publication.pravo.gov.ru/document/0001202508050010?index=1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постановление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«О внесении изменений в некоторые акты Правительства Российской Федерации по вопросам организации и осуществления федерального государственного земельного контроля (надзора)», которым в том числе предусмотрена возможность применения Росреестром беспилотны</w:t>
      </w:r>
      <w:r>
        <w:rPr>
          <w:b w:val="0"/>
          <w:bCs w:val="0"/>
          <w:color w:val="292c2f"/>
          <w:highlight w:val="none"/>
          <w14:ligatures w14:val="none"/>
        </w:rPr>
        <w:t xml:space="preserve">х авиационных систем для проведения контрольных (надзорных) мероприятий.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Документ законодательно закрепляет практику использования Росреестром, Россельхознадзором и Росприроднадзором беспилотных авиационных систем (БАС).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Отметим, что Росреестром БАС применяются с 2018 года. В 2017-2018 годах ведомством в целях внедрения дистанционных технологий при проведении государственного земельного надзора был реализован проект по использованию БАС в двух пилотных регионах – Тульской </w:t>
      </w:r>
      <w:r>
        <w:rPr>
          <w:b w:val="0"/>
          <w:bCs w:val="0"/>
          <w:color w:val="292c2f"/>
          <w:highlight w:val="none"/>
          <w14:ligatures w14:val="none"/>
        </w:rPr>
        <w:t xml:space="preserve">области и Республике Татарстан. Анализ его результатов показал целесообразность применения БПЛА для проведения мероприятий по земельному надзору.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Данные дистанционного зондирования земли (снимки и ортофотопланы), полученные с помощью БПЛА, применяются для определения фактического использования земельных участков, координат характерных точек границ земельных участков. Полученная информация сравнивает</w:t>
      </w:r>
      <w:r>
        <w:rPr>
          <w:b w:val="0"/>
          <w:bCs w:val="0"/>
          <w:color w:val="292c2f"/>
          <w:highlight w:val="none"/>
          <w14:ligatures w14:val="none"/>
        </w:rPr>
        <w:t xml:space="preserve">ся со сведениями, содержащимися в Едином государственном реестре недвижимости, для выявления признаков нарушений требований земельного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Применение БАС позволяет до минимума сократить количество проводимых контрольных (надзорных) мероприятий во взаимодействии с контролируемыми лицами. Росреестр выполняет государственный земельный надзор с целью защитить законные права и интересы правооблада</w:t>
      </w:r>
      <w:r>
        <w:rPr>
          <w:b w:val="0"/>
          <w:bCs w:val="0"/>
          <w:color w:val="292c2f"/>
          <w:highlight w:val="none"/>
          <w14:ligatures w14:val="none"/>
        </w:rPr>
        <w:t xml:space="preserve">телей от действий нарушителей земельного законодательства. К числу наиболее частых нарушений относятся самовольное занятие земельного участка, а также неиспользование земельного участка или его использование не по назначению.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настоящее время Росреестр и его территориальные органы имеют 126 беспилотных воздушных судов. Сотрудники, осуществляющие пилотирование БАС, проходят обучение на базе созданного в ППК «Роскадастр» Корпоративного университета.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2024 году и первом полугодии 2025 года территориальными органами Росреестра проведено 2 547 полетов и обследовано более 142,9 тыс. га земель.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в рамках изменений закреплено право инспекторов использовать мобильное приложение </w:t>
      </w:r>
      <w:hyperlink r:id="rId30" w:tooltip="https://rosreestr.gov.ru/press/archive/rosreestr-vnedril-prilozhenie-inspektor-dlya-onlayn-konsultatsiy-po-voprosam-zemelnogo-kontrolya-nad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«Инспектор»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при проведении контрольных (надзорных) мероприятий.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Приложение «Инспектор» разработано Минэкономразвития совместно с Минцифры на базе государственной информационной системы «Типовое облачное решение по автоматизации контрольной (надзорной) деятельности». Сегодня с его помощью граждане, индивидуальные предпр</w:t>
      </w:r>
      <w:r>
        <w:rPr>
          <w:b w:val="0"/>
          <w:bCs w:val="0"/>
          <w:color w:val="292c2f"/>
          <w:highlight w:val="none"/>
          <w14:ligatures w14:val="none"/>
        </w:rPr>
        <w:t xml:space="preserve">иниматели и организации могут в онлайн-режиме получить консультацию по вопросам осуществления государственного контроля (надзора) или участвовать в проведении профилактического визита.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Данный сервис поможет гражданам и бизнесу в максимально доступной форме разобраться во всех интересующих вопросах в сфере государственного земельного контроля (надзора), повысить правовую грамотность в вопросах использования земель и, как следствие, снизит</w:t>
      </w:r>
      <w:r>
        <w:rPr>
          <w:b w:val="0"/>
          <w:bCs w:val="0"/>
          <w:color w:val="292c2f"/>
          <w:highlight w:val="none"/>
          <w14:ligatures w14:val="none"/>
        </w:rPr>
        <w:t xml:space="preserve">ь количество нарушений обязательных требований.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Предполагается, что в ближайшее время с помощью приложения территориальные органы Росреестра также будут проводить отдельные виды контрольных (надзорных) мероприятий: выездные проверки, инспекционные визиты, рейдовые осмотры.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Новый сервис гармонично интегрируется в цифровую экосистему Росреестра, которая уже включает современные решения на основе искусственного интеллекта. В частности, «Цифровой помощник – ЕВА» помогает превентивно выявлять ошибки при подаче документов на регис</w:t>
      </w:r>
      <w:r>
        <w:rPr>
          <w:b w:val="0"/>
          <w:bCs w:val="0"/>
          <w:color w:val="292c2f"/>
          <w:highlight w:val="none"/>
          <w14:ligatures w14:val="none"/>
        </w:rPr>
        <w:t xml:space="preserve">трацию в МФЦ, что сокращает время приема документов и минимизирует количество ошибок при подаче заявления. А сервис «Умный кадастр» при помощи нейронных сетей позволяет массово выявлять незарегистрированные объекты недвижимости, исключая ручной точечный ан</w:t>
      </w:r>
      <w:r>
        <w:rPr>
          <w:b w:val="0"/>
          <w:bCs w:val="0"/>
          <w:color w:val="292c2f"/>
          <w:highlight w:val="none"/>
          <w14:ligatures w14:val="none"/>
        </w:rPr>
        <w:t xml:space="preserve">ализ и подворовой обход.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7. </w:t>
      </w:r>
      <w:r>
        <w:rPr>
          <w:b/>
          <w:bCs/>
          <w:color w:val="292c2f"/>
          <w:highlight w:val="none"/>
          <w14:ligatures w14:val="none"/>
        </w:rPr>
        <w:t xml:space="preserve">Росреестр и Минстрой РФ обсудили перспективы применения искусственного интеллекта для оказания услуг.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Росреестре состоялось совместное с Минстроем России и ППК «Роскадастр» межведомственное рабочее совещание, посвященное стратегическому планированию внедрения и использования технологий искусственного интеллекта (ИИ) в операционной деятельности и развитии</w:t>
      </w:r>
      <w:r>
        <w:rPr>
          <w:b w:val="0"/>
          <w:bCs w:val="0"/>
          <w:color w:val="292c2f"/>
          <w:highlight w:val="none"/>
          <w14:ligatures w14:val="none"/>
        </w:rPr>
        <w:t xml:space="preserve"> информационных систем.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Специалисты Росреестра и ППК «Роскадастр» продемонстрировали опыт внедрения технологий ИИ для оптимизации текущих бизнес-процессов оказания государственных услуг, а также обсудили возможности реализации совместных проектов, в том ч</w:t>
      </w:r>
      <w:r>
        <w:rPr>
          <w:b w:val="0"/>
          <w:bCs w:val="0"/>
          <w:color w:val="292c2f"/>
          <w:highlight w:val="none"/>
          <w14:ligatures w14:val="none"/>
        </w:rPr>
        <w:t xml:space="preserve">исле в целях сокращения строительного инвестиционного цикла.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Смирнов</w:t>
      </w:r>
      <w:r>
        <w:rPr>
          <w:b w:val="0"/>
          <w:bCs w:val="0"/>
          <w:color w:val="292c2f"/>
          <w:highlight w:val="none"/>
          <w14:ligatures w14:val="none"/>
        </w:rPr>
        <w:t xml:space="preserve"> подчеркнул: </w:t>
      </w:r>
      <w:r>
        <w:rPr>
          <w:b w:val="0"/>
          <w:bCs w:val="0"/>
          <w:color w:val="292c2f"/>
          <w:highlight w:val="none"/>
          <w14:ligatures w14:val="none"/>
        </w:rPr>
        <w:t xml:space="preserve">«Росреестр – одно из первых ведомств, которое внедрило в свою деятельность высокотехнологичные сервисы на основе искусственного интеллекта. Это позволило усовершенствовать процедуры государственных услуг по регистрации прав и кадастровому учету, а также ко</w:t>
      </w:r>
      <w:r>
        <w:rPr>
          <w:b w:val="0"/>
          <w:bCs w:val="0"/>
          <w:color w:val="292c2f"/>
          <w:highlight w:val="none"/>
          <w14:ligatures w14:val="none"/>
        </w:rPr>
        <w:t xml:space="preserve">нтрольно-надзорной деятельности ведомства. В результате повысилась скорость оказываемых службой услуг, что важно для граждан, ведь наши услуги являются наиболее массовыми и востребованными. Вместе с коллегами из Минстроя РФ проработаем возможность реализац</w:t>
      </w:r>
      <w:r>
        <w:rPr>
          <w:b w:val="0"/>
          <w:bCs w:val="0"/>
          <w:color w:val="292c2f"/>
          <w:highlight w:val="none"/>
          <w14:ligatures w14:val="none"/>
        </w:rPr>
        <w:t xml:space="preserve">ии совместных проектов на основе ИИ в целях дальнейшей цифровизации строительной отрасли и отрасли территориального планирования».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Начальник Управления стратегического развития и цифровой трансформации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Белокопытов</w:t>
      </w:r>
      <w:r>
        <w:rPr>
          <w:b w:val="0"/>
          <w:bCs w:val="0"/>
          <w:color w:val="292c2f"/>
          <w:highlight w:val="none"/>
          <w14:ligatures w14:val="none"/>
        </w:rPr>
        <w:t xml:space="preserve"> отметил преимущества использования сервиса «Цифровой помощник регистратора – ЕВА»: </w:t>
      </w:r>
      <w:r>
        <w:rPr>
          <w:b w:val="0"/>
          <w:bCs w:val="0"/>
          <w:color w:val="292c2f"/>
          <w:highlight w:val="none"/>
          <w14:ligatures w14:val="none"/>
        </w:rPr>
        <w:t xml:space="preserve">«С помощью технологий ИИ сервис помогает провести предварительную автоматическую проверку документов и сделок с недвижимостью как на стадии приема обращений в МФЦ, так и на стадии их последующей обработки в Росреестре. Существенно сократились время приема </w:t>
      </w:r>
      <w:r>
        <w:rPr>
          <w:b w:val="0"/>
          <w:bCs w:val="0"/>
          <w:color w:val="292c2f"/>
          <w:highlight w:val="none"/>
          <w14:ligatures w14:val="none"/>
        </w:rPr>
        <w:t xml:space="preserve">документов и правовой экспертизы – до 5 и 7 минут соответственно, минимизированы технические ошибки. «Цифровой помощник» увеличивает производительность работы регистратора прав. Сегодня с помощью «ЕВЫ» специалисты могут зарегистрировать по 30-40 сделок в д</w:t>
      </w:r>
      <w:r>
        <w:rPr>
          <w:b w:val="0"/>
          <w:bCs w:val="0"/>
          <w:color w:val="292c2f"/>
          <w:highlight w:val="none"/>
          <w14:ligatures w14:val="none"/>
        </w:rPr>
        <w:t xml:space="preserve">ень»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Заместитель генерального директора – директор филиала ППК «Роскадастр» ЦИТ «Роскадастр-Инфотех»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Чашин</w:t>
      </w:r>
      <w:r>
        <w:rPr>
          <w:b w:val="0"/>
          <w:bCs w:val="0"/>
          <w:color w:val="292c2f"/>
          <w:highlight w:val="none"/>
          <w14:ligatures w14:val="none"/>
        </w:rPr>
        <w:t xml:space="preserve"> рассказал о перспективах внедрения технологий ИИ в Ведомственном центре телефонного обслуживания Росреестра. </w:t>
      </w:r>
      <w:r>
        <w:rPr>
          <w:b w:val="0"/>
          <w:bCs w:val="0"/>
          <w:color w:val="292c2f"/>
          <w:highlight w:val="none"/>
          <w14:ligatures w14:val="none"/>
        </w:rPr>
        <w:t xml:space="preserve">«Реализация модуля речевой аналитики и предоставление предиктивной информации оператору обеспечит систематизацию распределения вызовов и генерацию подсказок для скорейшей и безошибочной обработки запроса. Также это позволит внедрить функцию автоматического</w:t>
      </w:r>
      <w:r>
        <w:rPr>
          <w:b w:val="0"/>
          <w:bCs w:val="0"/>
          <w:color w:val="292c2f"/>
          <w:highlight w:val="none"/>
          <w14:ligatures w14:val="none"/>
        </w:rPr>
        <w:t xml:space="preserve"> ответа на типовые вопросы заявителей без привлечения специалиста телефонного центра», </w:t>
      </w:r>
      <w:r>
        <w:rPr>
          <w:b w:val="0"/>
          <w:bCs w:val="0"/>
          <w:color w:val="292c2f"/>
          <w:highlight w:val="none"/>
          <w14:ligatures w14:val="none"/>
        </w:rPr>
        <w:t xml:space="preserve">- отметил он.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директора филиала ППК «Роскадастр» ЦИТ «Роскадастр-Инфотех» </w:t>
      </w:r>
      <w:r>
        <w:rPr>
          <w:b w:val="0"/>
          <w:bCs w:val="0"/>
          <w:color w:val="292c2f"/>
          <w:highlight w:val="none"/>
          <w14:ligatures w14:val="none"/>
        </w:rPr>
        <w:t xml:space="preserve">Василий Баландин </w:t>
      </w:r>
      <w:r>
        <w:rPr>
          <w:b w:val="0"/>
          <w:bCs w:val="0"/>
          <w:color w:val="292c2f"/>
          <w:highlight w:val="none"/>
          <w14:ligatures w14:val="none"/>
        </w:rPr>
        <w:t xml:space="preserve">продемонстрировал работу сервиса Единой цифровой платформы «Национальная система пространственных данных» «Умный кадастр» («Умка»). В контрольно-надзорной деятельности применение сервиса позволяет массово выявлять незарегистрированные объекты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его словам, на сегодняшний день с помощью «Умки» возможно выявлять порядка 40 тыс. объектов в день. Нейронные сети используются для распознавания объектов по данным дистанционного зондирования Земли, после чего проводится пространственный анализ на со</w:t>
      </w:r>
      <w:r>
        <w:rPr>
          <w:b w:val="0"/>
          <w:bCs w:val="0"/>
          <w:color w:val="292c2f"/>
          <w:highlight w:val="none"/>
          <w14:ligatures w14:val="none"/>
        </w:rPr>
        <w:t xml:space="preserve">ответствие выявленных объектов данным ЕГРН и Государственного адресного реестра. После сопоставления происходит визуализация потенциальных нарушений на карте для сотрудников контрольно-надзорной деятельности и предоставляются инструменты для принятия мер р</w:t>
      </w:r>
      <w:r>
        <w:rPr>
          <w:b w:val="0"/>
          <w:bCs w:val="0"/>
          <w:color w:val="292c2f"/>
          <w:highlight w:val="none"/>
          <w14:ligatures w14:val="none"/>
        </w:rPr>
        <w:t xml:space="preserve">еагирования.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Директор департамента цифрового развития Минстроя России </w:t>
      </w:r>
      <w:r>
        <w:rPr>
          <w:b w:val="0"/>
          <w:bCs w:val="0"/>
          <w:color w:val="292c2f"/>
          <w:highlight w:val="none"/>
          <w14:ligatures w14:val="none"/>
        </w:rPr>
        <w:t xml:space="preserve">Николай Парфентьев</w:t>
      </w:r>
      <w:r>
        <w:rPr>
          <w:b w:val="0"/>
          <w:bCs w:val="0"/>
          <w:color w:val="292c2f"/>
          <w:highlight w:val="none"/>
          <w14:ligatures w14:val="none"/>
        </w:rPr>
        <w:t xml:space="preserve"> поделился практикой использования технологий ИИ при рассмотрении обращений граждан.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 результатам совещания был принят ряд решений по дальнейшему сотрудничеству. В частности, до конца 2025 года планируется проработать вопрос переиспользования технологий на основе ИИ при развитии цифровых сервисов, включая ПО «Помощник эксперта (Работа с </w:t>
      </w:r>
      <w:r>
        <w:rPr>
          <w:b w:val="0"/>
          <w:bCs w:val="0"/>
          <w:color w:val="292c2f"/>
          <w:highlight w:val="none"/>
          <w14:ligatures w14:val="none"/>
        </w:rPr>
        <w:t xml:space="preserve">документами)» и сервис ФГИС ЕГРН «Цифровой помощник регистратора Ева», использовать опыт работы с сервисом ФГИС ЕЦП НСПД «Умный кадастр» при подготовке документации по планировке территорий. Кроме того, будет рассмотрена возможность создания совместных инт</w:t>
      </w:r>
      <w:r>
        <w:rPr>
          <w:b w:val="0"/>
          <w:bCs w:val="0"/>
          <w:color w:val="292c2f"/>
          <w:highlight w:val="none"/>
          <w14:ligatures w14:val="none"/>
        </w:rPr>
        <w:t xml:space="preserve">еграционных решений в части расчета градостроительного потенциала территорий при участии АО «ДОМ РФ».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8.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напоминает о применении с 1 сентября 2025 г. признаков неиспользования земельных участков.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1 сентября 2025 года вступает в силу </w:t>
      </w:r>
      <w:hyperlink r:id="rId31" w:tooltip="http://publication.pravo.gov.ru/document/0001202506020049?ysclid=mdswxepsjy510352874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постановление Правительства РФ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№ 826 от 31.05.2025, которым утверждён перечень признаков неиспользования земельных участков из состава земель населённых пунктов, садовых и огородных земельных участков. Документ содержит критерии, которые позволят оценить, используются ли земельные учас</w:t>
      </w:r>
      <w:r>
        <w:rPr>
          <w:b w:val="0"/>
          <w:bCs w:val="0"/>
          <w:color w:val="292c2f"/>
          <w:highlight w:val="none"/>
          <w14:ligatures w14:val="none"/>
        </w:rPr>
        <w:t xml:space="preserve">тки в соответствии с целевым назначением или нет.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Напомним, перечень разработан в рамках реализации </w:t>
      </w:r>
      <w:hyperlink r:id="rId32" w:tooltip="https://rosreestr.gov.ru/press/archive/rosreestr-razyasnil-kak-budet-rabotat-zakon-ob-osvoenii-i-ispolzovanii-uchastkov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Федерального закона</w:t>
        </w:r>
        <w:r>
          <w:rPr>
            <w:b w:val="0"/>
            <w:bCs w:val="0"/>
            <w:color w:val="292c2f"/>
            <w:highlight w:val="none"/>
            <w14:ligatures w14:val="none"/>
          </w:rPr>
          <w:t xml:space="preserve"> № 307-ФЗ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, который вступил в силу с 1 марта 2025 года и определяет в том числе трёхлетний срок для освоения земельных участков, расположенных в границах населенных пунктов, садовых и огородных земельных участков. По новым правилам, правообладатели земельных участко</w:t>
      </w:r>
      <w:r>
        <w:rPr>
          <w:b w:val="0"/>
          <w:bCs w:val="0"/>
          <w:color w:val="292c2f"/>
          <w:highlight w:val="none"/>
          <w14:ligatures w14:val="none"/>
        </w:rPr>
        <w:t xml:space="preserve">в, которые невозможно использовать сразу после приобретения прав, должны приступить к их использованию после проведения мероприятий по освоению. Перечень таких </w:t>
      </w:r>
      <w:hyperlink r:id="rId33" w:tooltip="https://rosreestr.gov.ru/press/archive/pravitelstvo-utverdilo-perechen-meropriyatiy-neobkhodimykh-dlya-osvoeniya-zemelnogo-uchastka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мероприятий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также утвержден соответствующим распоряжением Правительства РФ.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«Признаки неиспользования земельных участков решают сразу две ключевых задачи: во-первых, это защита добросовестных собственников от необоснованных жалоб, претензий и оценочных суждений инспектора. Теперь решение о наличии или отсутствии нарушения будет пр</w:t>
      </w:r>
      <w:r>
        <w:rPr>
          <w:b w:val="0"/>
          <w:bCs w:val="0"/>
          <w:color w:val="292c2f"/>
          <w:highlight w:val="none"/>
          <w14:ligatures w14:val="none"/>
        </w:rPr>
        <w:t xml:space="preserve">иниматься исключительно на основе утвержденных признаков. Во-вторых, это механизм воздействия на тех, кто бросил свою землю и не использует ее годами. Такого быть не должно. Земля – это ресурс, который необходимо использовать по целевому назначению. От заб</w:t>
      </w:r>
      <w:r>
        <w:rPr>
          <w:b w:val="0"/>
          <w:bCs w:val="0"/>
          <w:color w:val="292c2f"/>
          <w:highlight w:val="none"/>
          <w14:ligatures w14:val="none"/>
        </w:rPr>
        <w:t xml:space="preserve">рошенных и неэффективно используемых земель страдают не только добросовестные землепользователи и владельцы, но и государство в целом»,</w:t>
      </w:r>
      <w:r>
        <w:rPr>
          <w:b w:val="0"/>
          <w:bCs w:val="0"/>
          <w:color w:val="292c2f"/>
          <w:highlight w:val="none"/>
          <w14:ligatures w14:val="none"/>
        </w:rPr>
        <w:t xml:space="preserve"> - сказал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Руководствуясь перечнем признаков неиспользования, правообладатели будут знать, чего нельзя допускать на своих земельных участках, и смогут своевременно принять меры, необходимые для соблюдения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Например, садовые, огородные и приусадебные земельные участки не должны быть заросшими сорными растениями. Если через один год после того, как состояние участка зафиксировал инспектор, на 50% его площади останутся сорные растения высотой более 1 метра, а т</w:t>
      </w:r>
      <w:r>
        <w:rPr>
          <w:b w:val="0"/>
          <w:bCs w:val="0"/>
          <w:color w:val="292c2f"/>
          <w:highlight w:val="none"/>
          <w14:ligatures w14:val="none"/>
        </w:rPr>
        <w:t xml:space="preserve">акже деревья и кустарники, не являющиеся предметами благоустройства и озеленения, это будет свидетельствовать о неиспользовании участка и являться нарушением земельного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земельных участков, предназначенных для строительства, таким признаком станет отсутствие построенного и оформленного здания, сооружения в течение 5 лет с момента оформления прав на земельный участок. При этом установлены случаи, когда такой срок может </w:t>
      </w:r>
      <w:r>
        <w:rPr>
          <w:b w:val="0"/>
          <w:bCs w:val="0"/>
          <w:color w:val="292c2f"/>
          <w:highlight w:val="none"/>
          <w14:ligatures w14:val="none"/>
        </w:rPr>
        <w:t xml:space="preserve">быть иным – например, если он указан в разрешении на строительство или решении о комплексном развитии территории.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земельных участков, предназначенных для индивидуального жилищного строительства, введен аналогичный признак неиспользования. При этом срок для строительства индивидуального жилого дома и регистрации права на него увеличен до 7 лет с момента оформления </w:t>
      </w:r>
      <w:r>
        <w:rPr>
          <w:b w:val="0"/>
          <w:bCs w:val="0"/>
          <w:color w:val="292c2f"/>
          <w:highlight w:val="none"/>
          <w14:ligatures w14:val="none"/>
        </w:rPr>
        <w:t xml:space="preserve">прав на земельный участок.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на земельном участке уже построены здание либо сооружение, то необходимо содержать их в надлежащем состоянии, не допускать разрушения крыши, стен, выпадения окон или стекол из окон. В случае, если такие разрушения имеют место, собственник должен в теч</w:t>
      </w:r>
      <w:r>
        <w:rPr>
          <w:b w:val="0"/>
          <w:bCs w:val="0"/>
          <w:color w:val="292c2f"/>
          <w:highlight w:val="none"/>
          <w14:ligatures w14:val="none"/>
        </w:rPr>
        <w:t xml:space="preserve">ение года с момента фиксации состояния участка инспектором приступить к восстановлению зданий или сооружений. Иначе это также будет свидетельствовать о неиспользовании земельного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для всех земельных участков в границах населённых пунктов, а также садовых и огородных участков общим признаком неиспользования является захламление или загрязнение отходами более 50% их площади.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9.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В первом полугодии 2025 года россияне установили более 700 тыс. запретов на регистрацию сделок без личного участия.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 январь - июнь 2025 года в Росреестр поступило более 738 тыс. заявлений о запрете регистрации сделок без личного участия собственника, что более чем в 2 раза превышает показатели аналогичного периода прошлого года (318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Запрет о проведении сделок </w:t>
      </w:r>
      <w:r>
        <w:rPr>
          <w:b w:val="0"/>
          <w:bCs w:val="0"/>
          <w:color w:val="292c2f"/>
          <w:highlight w:val="none"/>
          <w14:ligatures w14:val="none"/>
        </w:rPr>
        <w:t xml:space="preserve">без личного участия собственника вносится в Единый государственный реестр недвижимости (ЕГРН) по заявлению правообладателя. Эта мера - один из самых надежных способов защиты от попыток совершения актов мошенничества и предотвращения незаконных сделок с нед</w:t>
      </w:r>
      <w:r>
        <w:rPr>
          <w:b w:val="0"/>
          <w:bCs w:val="0"/>
          <w:color w:val="292c2f"/>
          <w:highlight w:val="none"/>
          <w14:ligatures w14:val="none"/>
        </w:rPr>
        <w:t xml:space="preserve">вижимостью.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«Услуга действует с 2013 года и продолжает показывать свою востребованность как один из самых надежных инструментов в борьбе с мошенничеством. Активная динамика свидетельствует о том, что всё больше граждан предпринимают меры для защиты своей собственности</w:t>
      </w:r>
      <w:r>
        <w:rPr>
          <w:b w:val="0"/>
          <w:bCs w:val="0"/>
          <w:color w:val="292c2f"/>
          <w:highlight w:val="none"/>
          <w14:ligatures w14:val="none"/>
        </w:rPr>
        <w:t xml:space="preserve">. При этом растет количество заявлений, поданных в электронном виде. В первом полугодии 2024 года их было 53 тыс. (16,5%), а с начала 2025-го - более 177 тыс. (24%). После внесения такой записи в ЕГРН все заявления, поданные в отношении объекта недвижимост</w:t>
      </w:r>
      <w:r>
        <w:rPr>
          <w:b w:val="0"/>
          <w:bCs w:val="0"/>
          <w:color w:val="292c2f"/>
          <w:highlight w:val="none"/>
          <w14:ligatures w14:val="none"/>
        </w:rPr>
        <w:t xml:space="preserve">и без личного участия правообладателя или его нотариально доверенного лица, будут возвращаться без рассмотрения. Также растет популярность получения услуги в электронном виде»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сказала 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Татьяна Громова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Напомним, что для внесения в ЕГРН записи о невозможности регистрации перехода, прекращения, ограничения права или обременения объекта недвижимости без личного участия собственника или его представителя необходимо подать соответствующее заявление. Это мо</w:t>
      </w:r>
      <w:r>
        <w:rPr>
          <w:b w:val="0"/>
          <w:bCs w:val="0"/>
          <w:color w:val="292c2f"/>
          <w:highlight w:val="none"/>
          <w14:ligatures w14:val="none"/>
        </w:rPr>
        <w:t xml:space="preserve">жно сделать онлайн посредством официального сайта Росреестра, через личный кабинет на Госуслугах или лично при обращении в МФЦ.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Заявление может быть представлено только лицом, указанным в реестре недвижимости в качестве собственника. Кроме него, заявление</w:t>
      </w:r>
      <w:r>
        <w:rPr>
          <w:b w:val="0"/>
          <w:bCs w:val="0"/>
          <w:color w:val="292c2f"/>
          <w:highlight w:val="none"/>
          <w14:ligatures w14:val="none"/>
        </w:rPr>
        <w:t xml:space="preserve"> может подать его законный представитель либо представитель по доверенности.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Добавим, что запись о невозможности регистрационных действий без личного участия погашается при регистрации перехода права на объект недвижимости либо при поступлении заявления с</w:t>
      </w:r>
      <w:r>
        <w:rPr>
          <w:b w:val="0"/>
          <w:bCs w:val="0"/>
          <w:color w:val="292c2f"/>
          <w:highlight w:val="none"/>
          <w14:ligatures w14:val="none"/>
        </w:rPr>
        <w:t xml:space="preserve">обственника об отзыве ранее представленного заявления, а также на основании решения суда.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Существует также ряд случаев, в которых документы, поступившие не от собственника, будут рассмотрены, несмотря на запрет: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заявление подаёт нотариус при регистрации права на основании нотариально удостоверенной сделки или иного нотариального действия (при условии совершения сделки при личном участии правообладателя);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заявление подаёт любая сторона нотариально удостоверенной сделки;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заявление подано на государственную регистрацию прав, возникающих при </w:t>
      </w:r>
      <w:r>
        <w:rPr>
          <w:b w:val="0"/>
          <w:bCs w:val="0"/>
          <w:color w:val="292c2f"/>
          <w:highlight w:val="none"/>
          <w14:ligatures w14:val="none"/>
        </w:rPr>
        <w:t xml:space="preserve">наследовании.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10. </w:t>
      </w:r>
      <w:r>
        <w:rPr>
          <w:b/>
          <w:bCs/>
          <w:color w:val="292c2f"/>
          <w:highlight w:val="none"/>
          <w14:ligatures w14:val="none"/>
        </w:rPr>
        <w:t xml:space="preserve">С начала 2025 года Росреестр зарегистрировал более 309 тыс. договоров аренды земельных участков.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Свыше 309 тыс. договоров аренды земельных участков зарегистрировали граждане России в Росреестре с начала 2025 года. Это сопоставимо с показателями за аналогичный период прошлого года (313 тыс.). Об этом сообщил заместитель руководителя ведомства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Смирнов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Он также отметил, что согласно законодательству, государственная регистрация договоров аренды земельных участков, зданий, помещений, сооружений и машино-мест является обязательной при заключении соглашений на срок от одного года. Служба уделяет большое </w:t>
      </w:r>
      <w:r>
        <w:rPr>
          <w:b w:val="0"/>
          <w:bCs w:val="0"/>
          <w:color w:val="292c2f"/>
          <w:highlight w:val="none"/>
          <w14:ligatures w14:val="none"/>
        </w:rPr>
        <w:t xml:space="preserve">внимание повышению качества учётно-регистрационной деятельности, обеспечивая оперативность, доступность и удобство предоставления услуг для граждан и бизнеса. Так, например, сегодня средний срок оформления договоров аренды составляет всего 24 часа.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Лидера</w:t>
      </w:r>
      <w:r>
        <w:rPr>
          <w:b w:val="0"/>
          <w:bCs w:val="0"/>
          <w:color w:val="292c2f"/>
          <w:highlight w:val="none"/>
          <w14:ligatures w14:val="none"/>
        </w:rPr>
        <w:t xml:space="preserve">ми по числу зарегистрированных договоров аренды земельных участков стали Сибирский (56,7 тыс. договоров), Приволжский (54 тыс.) и Центральный (46,1 тыс.) федеральные округа. Чуть ниже показатели в Южном (41,4 тыс.) и Уральском (30,7 тыс.) федеральных округ</w:t>
      </w:r>
      <w:r>
        <w:rPr>
          <w:b w:val="0"/>
          <w:bCs w:val="0"/>
          <w:color w:val="292c2f"/>
          <w:highlight w:val="none"/>
          <w14:ligatures w14:val="none"/>
        </w:rPr>
        <w:t xml:space="preserve">ах. Среди регионов наибольшую активность проявили Алтайский край (19 тыс.), Ростовская область (11,8 тыс.), Республика Башкортостан (10,2 тыс.) и Чеченская Республика (8,9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с начала 2025 года ведомством зарегистрировано 55,2 тыс. договор</w:t>
      </w:r>
      <w:r>
        <w:rPr>
          <w:b w:val="0"/>
          <w:bCs w:val="0"/>
          <w:color w:val="292c2f"/>
          <w:highlight w:val="none"/>
          <w14:ligatures w14:val="none"/>
        </w:rPr>
        <w:t xml:space="preserve">ов аренды зданий, что почти на 55% больше, чем за аналогичный период прошлого года (35,8 тыс.). Лидером по этому показателю стала Пензенская область (24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Что касается договоров аренды помещений, то их с начала года зарегистрировано 34,8 тыс. Наиболе</w:t>
      </w:r>
      <w:r>
        <w:rPr>
          <w:b w:val="0"/>
          <w:bCs w:val="0"/>
          <w:color w:val="292c2f"/>
          <w:highlight w:val="none"/>
          <w14:ligatures w14:val="none"/>
        </w:rPr>
        <w:t xml:space="preserve">е востребованы они в Москве (3,9 тыс.), Санкт-Петербурге (3,7 тыс.) и Краснодарском крае (1,7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Отмечается положительная динамика и при регистрации договоров аренды сооружений – за первые два квартала 2025 года их число достигло 15,6 тыс. Больше всег</w:t>
      </w:r>
      <w:r>
        <w:rPr>
          <w:b w:val="0"/>
          <w:bCs w:val="0"/>
          <w:color w:val="292c2f"/>
          <w:highlight w:val="none"/>
          <w14:ligatures w14:val="none"/>
        </w:rPr>
        <w:t xml:space="preserve">о таких договоров заключено в Тюменской области (2 тыс.).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11. </w:t>
      </w:r>
      <w:r>
        <w:rPr>
          <w:b/>
          <w:bCs/>
          <w:color w:val="292c2f"/>
          <w:highlight w:val="none"/>
          <w14:ligatures w14:val="none"/>
        </w:rPr>
        <w:t xml:space="preserve">Более 16 млн прав собственности на объекты недвижимости оформили россияне с 2006 года в рамках «дачной амнистии».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Россияне с 2006 года в рамках «дачной амнистии» зарегистрировали свыше 16 млн прав собственности в отношении объектов недвижимости. Из них 7,8 млн прав на земельные участки, 4,7 млн – на индивидуальные жилые дома и 3,5 млн – на садовые дома.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Сегодня «дачн</w:t>
      </w:r>
      <w:r>
        <w:rPr>
          <w:b w:val="0"/>
          <w:bCs w:val="0"/>
          <w:color w:val="292c2f"/>
          <w:highlight w:val="none"/>
          <w14:ligatures w14:val="none"/>
        </w:rPr>
        <w:t xml:space="preserve">ой амнистией» называют законы, которые упрощают оформление документов на жилые и садовые дома, хозяйственные постройки или земельные участки, используемые гражданами для размещения жилого дома.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 отметил, что </w:t>
      </w:r>
      <w:r>
        <w:rPr>
          <w:b w:val="0"/>
          <w:bCs w:val="0"/>
          <w:color w:val="292c2f"/>
          <w:highlight w:val="none"/>
          <w14:ligatures w14:val="none"/>
        </w:rPr>
        <w:t xml:space="preserve">«за 19 лет действия «дачной амнистии» ею воспользовались более 16 млн граждан. Свыше 8,3 млн (52 %) прав на земельные участки и отдельные виды зданий и сооружений, в том числе садовые дома, были оформлены до 2011 года. Этот упрощённый порядок регистрации п</w:t>
      </w:r>
      <w:r>
        <w:rPr>
          <w:b w:val="0"/>
          <w:bCs w:val="0"/>
          <w:color w:val="292c2f"/>
          <w:highlight w:val="none"/>
          <w14:ligatures w14:val="none"/>
        </w:rPr>
        <w:t xml:space="preserve">рав на определенные объекты недвижимости позволяет людям избежать ненужной бумажной волокиты и судебных разбирательств, оказывает положительное влияние на динамику развития индивидуального жилищного строительства и гражданского оборота недвижимости»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До 1 марта 2031 года при определенных условиях можно оформить в упрощённом порядке права на жилые дома, возведённые до 14.05.1998, и земельные участки под ними.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Также в упрощённом порядке можно оформить в собственность хозяйственные постройки, в отноше</w:t>
      </w:r>
      <w:r>
        <w:rPr>
          <w:b w:val="0"/>
          <w:bCs w:val="0"/>
          <w:color w:val="292c2f"/>
          <w:highlight w:val="none"/>
          <w14:ligatures w14:val="none"/>
        </w:rPr>
        <w:t xml:space="preserve">нии которых до 01.01.2013 осуществлён государственный технический учет (техническая инвентаризация). К таким объектам относятся сараи, бани, погреба, летние кухни, колодцы, навесы и другие хозяйственные постройки, которые расположены на земельных участках,</w:t>
      </w:r>
      <w:r>
        <w:rPr>
          <w:b w:val="0"/>
          <w:bCs w:val="0"/>
          <w:color w:val="292c2f"/>
          <w:highlight w:val="none"/>
          <w14:ligatures w14:val="none"/>
        </w:rPr>
        <w:t xml:space="preserve"> предназначенных для индивидуального жилищного строительства (ИЖС), ведения личного подсобного хозяйства (ЛПХ) и садоводства. Подробнее о них мы рассказывали </w:t>
      </w:r>
      <w:hyperlink r:id="rId34" w:tooltip="https://rosreestr.gov.ru/press/archive/kakie-khozpostroyki-neobkhodimo-registrirovat-v-rosreestre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ранее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 Незарегистрированные хозпостройки – это не только незаконно, но и неудобно, например, их нельзя застраховать. Постановка на учёт помогает обезопасить постройки от сноса и получить компенсацию в случае утраты имущества.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настоящее время о строительстве </w:t>
      </w:r>
      <w:r>
        <w:rPr>
          <w:b w:val="0"/>
          <w:bCs w:val="0"/>
          <w:color w:val="292c2f"/>
          <w:highlight w:val="none"/>
          <w14:ligatures w14:val="none"/>
        </w:rPr>
        <w:t xml:space="preserve">жилых и садовых домов необходимо уведомлять орган государственной власти или местного самоуправления, уполномоченный на выдачу разрешений на строительство.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 этом по «дачной амнистии» до 01.03.2031 без такого уведомления допускается кадастровый учёт и р</w:t>
      </w:r>
      <w:r>
        <w:rPr>
          <w:b w:val="0"/>
          <w:bCs w:val="0"/>
          <w:color w:val="292c2f"/>
          <w:highlight w:val="none"/>
          <w14:ligatures w14:val="none"/>
        </w:rPr>
        <w:t xml:space="preserve">егистрация прав на садовые и жилые дома, расположенные на садовых земельных участках, а также земельных участках для ИЖС или ведения ЛПХ в границах населенного пункта (или с приравненными к ним видам разрешенного использования), для осуществления крестьянс</w:t>
      </w:r>
      <w:r>
        <w:rPr>
          <w:b w:val="0"/>
          <w:bCs w:val="0"/>
          <w:color w:val="292c2f"/>
          <w:highlight w:val="none"/>
          <w14:ligatures w14:val="none"/>
        </w:rPr>
        <w:t xml:space="preserve">ким (фермерским) хозяйством своей деятельности. Кроме того, не требуется направлять уведомление в отношении жилого или садового дома, созданных на садовом земельном участке либо земельном участке, предназначенном для ИЖС или ведения ЛПХ в границах населенн</w:t>
      </w:r>
      <w:r>
        <w:rPr>
          <w:b w:val="0"/>
          <w:bCs w:val="0"/>
          <w:color w:val="292c2f"/>
          <w:highlight w:val="none"/>
          <w14:ligatures w14:val="none"/>
        </w:rPr>
        <w:t xml:space="preserve">ого пункта, кадастровый учет которых осуществлен до 04.08.2018.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оформления прав на объект капитального строительства в рамках «дачной амнистии» необходимо представить в орган регистрации прав заявление о государственном кадастровом учёте и (или) госуд</w:t>
      </w:r>
      <w:r>
        <w:rPr>
          <w:b w:val="0"/>
          <w:bCs w:val="0"/>
          <w:color w:val="292c2f"/>
          <w:highlight w:val="none"/>
          <w14:ligatures w14:val="none"/>
        </w:rPr>
        <w:t xml:space="preserve">арственной регистрации прав и технический план, для подготовки которого можно обратиться в ППК «Роскадастр». Подготовленный пакет документов можно представить, как в бумажном виде – при личном визите в МФЦ, так и в электронном (при наличии сертификата усил</w:t>
      </w:r>
      <w:r>
        <w:rPr>
          <w:b w:val="0"/>
          <w:bCs w:val="0"/>
          <w:color w:val="292c2f"/>
          <w:highlight w:val="none"/>
          <w14:ligatures w14:val="none"/>
        </w:rPr>
        <w:t xml:space="preserve">енной квалифицированной электронной подписи) через личный кабинет на сайте Росреестра.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12.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поделился с индийскими коллегами опытом создания платформы НСПД и ее сервисов.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рассказал о создании и развитии ФГИС ЕЦП «Национальная система пространственных данных» (НСПД), а также о функционировании ее сервисов специалистам Геодезической службы Индии. Об этом речь шла на вебинаре в рамках реализации </w:t>
      </w:r>
      <w:hyperlink r:id="rId35" w:tooltip="https://rosreestr.gov.ru/press/archive/rosreestr-i-geodezicheskaya-sluzhba-indii-budut-sotrudnichat-v-sfere-geoprostranstvennykh-tekhnologii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меморандума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о взаимопонимании между профильными ведомствами государств.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Участниками мероприятия стали представители Росреестра, ППК «Роскадастр», ее филиала ЦИТ «Роскадастр-Инфотех», Геодезической службы Индии и Министерства иностранных дел республики.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«Вебинар по обмену опытом в рамках реализации двустороннего плана сотрудничества между нашими ведомствами стал вторым. В этот раз наши специалисты поделились опытом по созданию Национальной системы пространственных данных и ознакомились с работой индийских</w:t>
      </w:r>
      <w:r>
        <w:rPr>
          <w:b w:val="0"/>
          <w:bCs w:val="0"/>
          <w:color w:val="292c2f"/>
          <w:highlight w:val="none"/>
          <w14:ligatures w14:val="none"/>
        </w:rPr>
        <w:t xml:space="preserve"> коллег в этом направлении. Мы готовы делиться своими наработками и поддержать инициативы по развитию взаимовыгодного российско-индийского сотрудничества»</w:t>
      </w:r>
      <w:r>
        <w:rPr>
          <w:b w:val="0"/>
          <w:bCs w:val="0"/>
          <w:color w:val="292c2f"/>
          <w:highlight w:val="none"/>
          <w14:ligatures w14:val="none"/>
        </w:rPr>
        <w:t xml:space="preserve">, – отметила исполняющая обязанности начальника Управления международного сотрудничества, информационной политики и специальных проектов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Галина Кириченко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Первое совместное мероприятие по обмену опытом с Геодезической службой Индии </w:t>
      </w:r>
      <w:hyperlink r:id="rId36" w:tooltip="https://rosreestr.gov.ru/press/archive/rosreestr-i-geodezicheskaya-sluzhba-indii-proveli-pervuyu-vstrechu-po-obmenu-opytom-v-ramkakh-memora/?sphrase_id=5210943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состоялось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в апреле этого года. Тогда российские специалисты рассказали об основных нормативных и правовых документах, регулирующих федеральный государственный контроль (надзор) в области геодезии и картографии, а также о лицензировании и цифровизации сферы.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</w:t>
      </w:r>
      <w:r>
        <w:rPr>
          <w:b w:val="0"/>
          <w:bCs w:val="0"/>
          <w:color w:val="292c2f"/>
          <w:highlight w:val="none"/>
          <w14:ligatures w14:val="none"/>
        </w:rPr>
        <w:t xml:space="preserve">того, во время ПМЭФ-2025 ППК «Роскадастр» </w:t>
      </w:r>
      <w:hyperlink r:id="rId37" w:tooltip="https://rosreestr.gov.ru/press/archive/rossiya-i-indiya-obsudili-sotrudnichestvo-v-sfere-geoinformatsionnykh-tekhnologiy/?sphrase_id=5210943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провела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видеоконференцию с представителями Индии. Стороны выразили готовность к развитию практического сотрудничества, а индийские коллеги проявили интерес к адаптации технологии НСПД под специфику своего рынка.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«Новая встреча стала важной вехой в сотрудничестве Геодезической cлужбы Индии и Росреестра. Мы надеемся, что не только обменялись знаниями и опытом, но и выработали общее видение по использованию новых технологий для решения сложных вопросов, в том числе д</w:t>
      </w:r>
      <w:r>
        <w:rPr>
          <w:b w:val="0"/>
          <w:bCs w:val="0"/>
          <w:color w:val="292c2f"/>
          <w:highlight w:val="none"/>
          <w14:ligatures w14:val="none"/>
        </w:rPr>
        <w:t xml:space="preserve">ля развития системы пространственных данных. Мы готовы перенимать передовой опыт, который будет полезным для наших стран»</w:t>
      </w:r>
      <w:r>
        <w:rPr>
          <w:b w:val="0"/>
          <w:bCs w:val="0"/>
          <w:color w:val="292c2f"/>
          <w:highlight w:val="none"/>
          <w14:ligatures w14:val="none"/>
        </w:rPr>
        <w:t xml:space="preserve">, - отметил помощник Главного геодезиста Индии по вопросам политики и координации </w:t>
      </w:r>
      <w:r>
        <w:rPr>
          <w:b w:val="0"/>
          <w:bCs w:val="0"/>
          <w:color w:val="292c2f"/>
          <w:highlight w:val="none"/>
          <w14:ligatures w14:val="none"/>
        </w:rPr>
        <w:t xml:space="preserve">Шаилеш Кумар Синха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Исполняющий обязанности начальника Управления развития национальной системы пространственных данных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Щеглов</w:t>
      </w:r>
      <w:r>
        <w:rPr>
          <w:b w:val="0"/>
          <w:bCs w:val="0"/>
          <w:color w:val="292c2f"/>
          <w:highlight w:val="none"/>
          <w14:ligatures w14:val="none"/>
        </w:rPr>
        <w:t xml:space="preserve"> рассказал о результатах развития платформы НСПД после введения ее в эксплуатацию (декабрь 2023 года) и тех задачах, которые стоят перед ведомством до 2030 года. В настоящее время в НСПД интегрированы информационные системы 54 регионов страны, до конца 202</w:t>
      </w:r>
      <w:r>
        <w:rPr>
          <w:b w:val="0"/>
          <w:bCs w:val="0"/>
          <w:color w:val="292c2f"/>
          <w:highlight w:val="none"/>
          <w14:ligatures w14:val="none"/>
        </w:rPr>
        <w:t xml:space="preserve">5 года их будет 64, а к 2030 году планируется подключение информационных систем всех регионов. Сейчас платформа НСПД обладает мощностью, при которой 25-30 тыс. пользователей могут единовременно использовать ее возможности без задержек и сбоев.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свою очер</w:t>
      </w:r>
      <w:r>
        <w:rPr>
          <w:b w:val="0"/>
          <w:bCs w:val="0"/>
          <w:color w:val="292c2f"/>
          <w:highlight w:val="none"/>
          <w14:ligatures w14:val="none"/>
        </w:rPr>
        <w:t xml:space="preserve">едь, специалисты Геодезической службы Индии поделились опытом по разработке инфраструктуры пространственных данных и дальнейшими планами по ее развитию. В частности, они рассказали об основных наборах данных с различным разрешением, их классификации, реали</w:t>
      </w:r>
      <w:r>
        <w:rPr>
          <w:b w:val="0"/>
          <w:bCs w:val="0"/>
          <w:color w:val="292c2f"/>
          <w:highlight w:val="none"/>
          <w14:ligatures w14:val="none"/>
        </w:rPr>
        <w:t xml:space="preserve">зации проекта по сбору данных 3D в 133 городах Индии, сборе данных о приливах и отливах с помощью станций, расположенных в портах. Геоплатформу планируют ввести в эксплуатацию в течение ближайших 6 месяцев.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ходе дискуссии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Щеглов</w:t>
      </w:r>
      <w:r>
        <w:rPr>
          <w:b w:val="0"/>
          <w:bCs w:val="0"/>
          <w:color w:val="292c2f"/>
          <w:highlight w:val="none"/>
          <w14:ligatures w14:val="none"/>
        </w:rPr>
        <w:t xml:space="preserve"> отметил интересный опыт Геодезической службы Индии по созданию трехмерных пространственных данных. Он уточнил у специалистов Геодезической службы Индии, как организована проверка достоверности данных при использовании технологий краудсорсинг (crowdsourcin</w:t>
      </w:r>
      <w:r>
        <w:rPr>
          <w:b w:val="0"/>
          <w:bCs w:val="0"/>
          <w:color w:val="292c2f"/>
          <w:highlight w:val="none"/>
          <w14:ligatures w14:val="none"/>
        </w:rPr>
        <w:t xml:space="preserve">g), а также модель монетизации доступа к данным платформы.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Индийские коллеги акцентировали внимание на масштабной работе российских специалистов за 1,5 года по развитию НСПД, их заинтересовали модель хранение данных, которая реализована на платформе, а та</w:t>
      </w:r>
      <w:r>
        <w:rPr>
          <w:b w:val="0"/>
          <w:bCs w:val="0"/>
          <w:color w:val="292c2f"/>
          <w:highlight w:val="none"/>
          <w14:ligatures w14:val="none"/>
        </w:rPr>
        <w:t xml:space="preserve">кже российский опыт развития собственного программного и аппаратного обеспечения, позволивший создать столь масштабную и высоконагруженную цифровую платформу.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ходе вебинара стороны договорились продолжить реализацию межведомственного плана сотрудничеств</w:t>
      </w:r>
      <w:r>
        <w:rPr>
          <w:b w:val="0"/>
          <w:bCs w:val="0"/>
          <w:color w:val="292c2f"/>
          <w:highlight w:val="none"/>
          <w14:ligatures w14:val="none"/>
        </w:rPr>
        <w:t xml:space="preserve">а на 2025 год и определить дату следующего мероприятия по обмену опытом.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13. </w:t>
      </w:r>
      <w:r>
        <w:rPr>
          <w:b/>
          <w:bCs/>
          <w:color w:val="292c2f"/>
          <w:highlight w:val="none"/>
          <w14:ligatures w14:val="none"/>
        </w:rPr>
        <w:t xml:space="preserve">Предлагаем оценить качество предоставления государственной услуги по лицензированию геодезической и картографической деятельности.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в целях повышения качества предоставления государственных услуг с 1 июля 2025 года по 10 августа 2025 года проводит опрос об удовлетворенности качеством предоставления государственной услуги по лицензированию геодезической и картографической деят</w:t>
      </w:r>
      <w:r>
        <w:rPr>
          <w:b w:val="0"/>
          <w:bCs w:val="0"/>
          <w:color w:val="292c2f"/>
          <w:highlight w:val="none"/>
          <w14:ligatures w14:val="none"/>
        </w:rPr>
        <w:t xml:space="preserve">ельности.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Предлагаем пройти опрос </w:t>
      </w:r>
      <w:hyperlink r:id="rId38" w:tooltip="https://pos.gosuslugi.ru/lkp/polls/528236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через Платформу обратной связи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Опрос полностью анонимный, но перед его прохождением нужно авторизоваться через учетную запись на Госуслугах.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Нам очень важно получить обратную связь!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14. </w:t>
      </w:r>
      <w:r>
        <w:rPr>
          <w:b/>
          <w:bCs/>
          <w:color w:val="292c2f"/>
          <w:highlight w:val="none"/>
          <w14:ligatures w14:val="none"/>
        </w:rPr>
        <w:t xml:space="preserve">Цифра дня: новосибирским Росреестром проведено 1393 мероприятия для подконтрольных субъектов.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2025 году специалистами новосибирского Росреестра продолжается профилактическая работа по предупреждению нарушений обязательных требований земельного законодательства, законодательства о геодезии и картографии.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Утверждены специальные программы профилакт</w:t>
      </w:r>
      <w:r>
        <w:rPr>
          <w:b w:val="0"/>
          <w:bCs w:val="0"/>
          <w:color w:val="292c2f"/>
          <w:highlight w:val="none"/>
          <w14:ligatures w14:val="none"/>
        </w:rPr>
        <w:t xml:space="preserve">ики рисков причинения вреда (ущерба) охраняемым законом ценностям.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1 полугодии 2025 года в регионе проведено 1393 мероприятия для подконтрольных субъектов.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Проведено 69 консультаций о профилактике нарушений обязательных требований земельного законодате</w:t>
      </w:r>
      <w:r>
        <w:rPr>
          <w:b w:val="0"/>
          <w:bCs w:val="0"/>
          <w:color w:val="292c2f"/>
          <w:highlight w:val="none"/>
          <w14:ligatures w14:val="none"/>
        </w:rPr>
        <w:t xml:space="preserve">льства и законодательства в сфере лицензирования геодезической и картографической деятельности.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 лицензиатам проведено два обязательных профилактических визита в форме профилактической беседы и информирования об обязательных требованиях, которые предъявл</w:t>
      </w:r>
      <w:r>
        <w:rPr>
          <w:b w:val="0"/>
          <w:bCs w:val="0"/>
          <w:color w:val="292c2f"/>
          <w:highlight w:val="none"/>
          <w14:ligatures w14:val="none"/>
        </w:rPr>
        <w:t xml:space="preserve">яются к их деятельности.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рамках федерального государственного земельного контроля (надзора) объявлено 1052 предостережения о недопустимости нарушения требований земельного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рамках федерального государственного контроля (надзора) в об</w:t>
      </w:r>
      <w:r>
        <w:rPr>
          <w:b w:val="0"/>
          <w:bCs w:val="0"/>
          <w:color w:val="292c2f"/>
          <w:highlight w:val="none"/>
          <w14:ligatures w14:val="none"/>
        </w:rPr>
        <w:t xml:space="preserve">ласти геодезии и картографии объявлено 17 предостережений о недопустимости нарушения требований законодательства о наименованиях географических объектов.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Осуществлялось публичное информирование посредством официального сайта Росреестра и средств массовой </w:t>
      </w:r>
      <w:r>
        <w:rPr>
          <w:b w:val="0"/>
          <w:bCs w:val="0"/>
          <w:color w:val="292c2f"/>
          <w:highlight w:val="none"/>
          <w14:ligatures w14:val="none"/>
        </w:rPr>
        <w:t xml:space="preserve">информации – в городе и районах области опубликовано более 100 материалов.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целях повышения эффективности надзорной деятельности в сфере земельного законодательства состоялось 10 совместных мероприятий с органами местного самоуправления.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вопросам орг</w:t>
      </w:r>
      <w:r>
        <w:rPr>
          <w:b w:val="0"/>
          <w:bCs w:val="0"/>
          <w:color w:val="292c2f"/>
          <w:highlight w:val="none"/>
          <w14:ligatures w14:val="none"/>
        </w:rPr>
        <w:t xml:space="preserve">анизации и проведения проверок, соблюдения требований законодательства при осуществлении федерального государственного контроля (надзора) руководством новосибирского Росреестра проведено 8 личных приемов.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Результаты профилактических мероприятий оценивают </w:t>
      </w:r>
      <w:r>
        <w:rPr>
          <w:b w:val="0"/>
          <w:bCs w:val="0"/>
          <w:color w:val="292c2f"/>
          <w:highlight w:val="none"/>
          <w14:ligatures w14:val="none"/>
        </w:rPr>
        <w:t xml:space="preserve">сами подконтрольные субъекты. Полученные показатели свидетельствуют об информированности об обязательных требованиях законодательства, их понятности, доступности информации об изменениях обязательных требований, удовлетворенности проведенными профилактичес</w:t>
      </w:r>
      <w:r>
        <w:rPr>
          <w:b w:val="0"/>
          <w:bCs w:val="0"/>
          <w:color w:val="292c2f"/>
          <w:highlight w:val="none"/>
          <w14:ligatures w14:val="none"/>
        </w:rPr>
        <w:t xml:space="preserve">кими визитами.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Информация о проведении профилактических мероприятий по каждому виду контроля (надзора) размещена в региональном блоке Управления на официальном сайте </w:t>
      </w:r>
      <w:hyperlink r:id="rId39" w:tooltip="https://rosreestr.gov.ru/open-service/audits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Росреестра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15. </w:t>
      </w:r>
      <w:r>
        <w:rPr>
          <w:b/>
          <w:bCs/>
          <w:color w:val="292c2f"/>
          <w:highlight w:val="none"/>
          <w14:ligatures w14:val="none"/>
        </w:rPr>
        <w:t xml:space="preserve">Новосибирским Росреестром рассмотрено 2002 обращения в I полугодии 2025 года.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Более 2000 обращений рассмотрено региональным Росреестром с начала 2025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Большая часть вопросов касалась порядка осуществления государственного кадастрового учета и/или государственной регистрации прав на недвижимое имущество и сделок с ним (65,8%). </w:t>
      </w:r>
      <w:r>
        <w:rPr>
          <w:b w:val="0"/>
          <w:bCs w:val="0"/>
          <w:color w:val="292c2f"/>
          <w:highlight w:val="none"/>
          <w14:ligatures w14:val="none"/>
        </w:rPr>
        <w:t xml:space="preserve">Реже заявители обращались по вопросам земельного контроля (надзора) (13,4%), контроля за деятельностью саморегулируемых организаций арбитражных управляющих (9,4%). Обращения по вопросам землеустройства, установления границ, кадастровой оценки, надзора в об</w:t>
      </w:r>
      <w:r>
        <w:rPr>
          <w:b w:val="0"/>
          <w:bCs w:val="0"/>
          <w:color w:val="292c2f"/>
          <w:highlight w:val="none"/>
          <w14:ligatures w14:val="none"/>
        </w:rPr>
        <w:t xml:space="preserve">ласти геодезии и картографии, лицензирования составили 2%.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Почти половина обращений рассмотрена в течение 15 дней.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Средний срок рассмотрения обращений составил 18 дней.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Направить обращение в Управление можно одним из следующих способов: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почте (по ад</w:t>
      </w:r>
      <w:r>
        <w:rPr>
          <w:b w:val="0"/>
          <w:bCs w:val="0"/>
          <w:color w:val="292c2f"/>
          <w:highlight w:val="none"/>
          <w14:ligatures w14:val="none"/>
        </w:rPr>
        <w:t xml:space="preserve">ресу ул. Державина, 28, г. Новосибирск, 630091), </w:t>
      </w:r>
      <w:r>
        <w:rPr>
          <w:b w:val="0"/>
          <w:bCs w:val="0"/>
          <w:color w:val="292c2f"/>
          <w:highlight w:val="none"/>
          <w14:ligatures w14:val="none"/>
        </w:rPr>
        <w:t xml:space="preserve">в письменном виде через боксы для приема корреспонденции, установленные в помещениях Управления, по факсу 8 383 227 10 09,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форме электронного документа посредством сервиса «</w:t>
      </w:r>
      <w:hyperlink r:id="rId40" w:tooltip="https://rosreestr.gov.ru/eservices/services/tickets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Отправить обращение» на официальном сайте Росреестра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связи с изменением Закона о порядке рассмотрения обращений граждан для подачи электронного обращения необходимо подтвердить личность автора обращения.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Электронные обращения, направляемые на официальный адрес электронной почты Управления, в работу не </w:t>
      </w:r>
      <w:r>
        <w:rPr>
          <w:b w:val="0"/>
          <w:bCs w:val="0"/>
          <w:color w:val="292c2f"/>
          <w:highlight w:val="none"/>
          <w14:ligatures w14:val="none"/>
        </w:rPr>
        <w:t xml:space="preserve">принимаются.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16. </w:t>
      </w:r>
      <w:r>
        <w:rPr>
          <w:b/>
          <w:bCs/>
          <w:color w:val="292c2f"/>
          <w:highlight w:val="none"/>
          <w14:ligatures w14:val="none"/>
        </w:rPr>
        <w:t xml:space="preserve">В Новосибирском Росреестре прошла «горячая» телефонная линия, приуроченная ко дню строителя.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Публикуем ответы на поступившие вопросы об особенностях перехода права собственности на  незавершенный строительством объект.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ходе «горячей» линии даны ответы на следующие вопросы.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Особенности постановки на кадастровый учет и регистрации права собственности на незавершенный строительством объект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Объект незавершенного строительства подлежит кадастровому учету и регистрации права в Едином государственном реестре недвижимости (ЕГРН).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право собственности на земельный участок, на котором находится строящейся объект, ранее зарегистрировано не б</w:t>
      </w:r>
      <w:r>
        <w:rPr>
          <w:b w:val="0"/>
          <w:bCs w:val="0"/>
          <w:color w:val="292c2f"/>
          <w:highlight w:val="none"/>
          <w14:ligatures w14:val="none"/>
        </w:rPr>
        <w:t xml:space="preserve">ыло, то проводится: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кадастровый учет земельного участка и государственная регистрация права собственности на земельный участок;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кадастровый учет и регистрация прав на этот объект.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кадастрового учета незавершенного строительством объекта и регист</w:t>
      </w:r>
      <w:r>
        <w:rPr>
          <w:b w:val="0"/>
          <w:bCs w:val="0"/>
          <w:color w:val="292c2f"/>
          <w:highlight w:val="none"/>
          <w14:ligatures w14:val="none"/>
        </w:rPr>
        <w:t xml:space="preserve">рации на него права собственности потребуется одно заявление.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государственной регистрации права собственности необходимо предоставить: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разрешение на строительство;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правоустанавливающий документ на земельный участок (если право на земельный участ</w:t>
      </w:r>
      <w:r>
        <w:rPr>
          <w:b w:val="0"/>
          <w:bCs w:val="0"/>
          <w:color w:val="292c2f"/>
          <w:highlight w:val="none"/>
          <w14:ligatures w14:val="none"/>
        </w:rPr>
        <w:t xml:space="preserve">ок зарегистрировано ранее - правоустанавливающий документ предоставлять не требуется);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технический план объекта, незавершенного строительством;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нотариально удостоверенная доверенность, которая подтверждает полномочия  представителя заявителя.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отно</w:t>
      </w:r>
      <w:r>
        <w:rPr>
          <w:b w:val="0"/>
          <w:bCs w:val="0"/>
          <w:color w:val="292c2f"/>
          <w:highlight w:val="none"/>
          <w14:ligatures w14:val="none"/>
        </w:rPr>
        <w:t xml:space="preserve">шении некоторых объектов – объекты индивидуального жилищного строительства, вспомогательные объекты – бани, гаражи - разрешение на строительство не требуется. Для постановки на кадастровый учет и регистрации права собственности этих строящихся объектов дос</w:t>
      </w:r>
      <w:r>
        <w:rPr>
          <w:b w:val="0"/>
          <w:bCs w:val="0"/>
          <w:color w:val="292c2f"/>
          <w:highlight w:val="none"/>
          <w14:ligatures w14:val="none"/>
        </w:rPr>
        <w:t xml:space="preserve">таточно предоставить технический план.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проводится кадастровый учет земельного участка, то потребуется межевой план.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 порядке предоставления заявлений на государственную регистрацию перехода права собственности на незавершенный строительством объект: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Для государственной регистрации перехода права собственности необходимо представить заявления всеми участниками сделки, подготовить договор и уплатить государственную пошлину.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подачи документов можно выбрать любой удобный способ: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обратиться в офис </w:t>
      </w:r>
      <w:r>
        <w:rPr>
          <w:b w:val="0"/>
          <w:bCs w:val="0"/>
          <w:color w:val="292c2f"/>
          <w:highlight w:val="none"/>
          <w14:ligatures w14:val="none"/>
        </w:rPr>
        <w:t xml:space="preserve">ГАУ НСО «МФЦ» и подать документы на бумажном носителе;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подать документы в электроном виде через официальный сайт Росреестра. Обращаем внимание, что документы должны быть подписаны усиленными квалификационными электронными подписями всех сторон сделки;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- обратиться к нотариусу.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 требованиях к договорам, заключенным с целью реализации незавершенного строительством объекта: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Что необходимо проверить покупателю до заключения сделки: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зарегистрированное право продавца в ЕГРН;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соответствие разрешения на строительства фактическому объекту (разрешительная документация);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корректность технического плана (ошибки в описании объ</w:t>
      </w:r>
      <w:r>
        <w:rPr>
          <w:b w:val="0"/>
          <w:bCs w:val="0"/>
          <w:color w:val="292c2f"/>
          <w:highlight w:val="none"/>
          <w14:ligatures w14:val="none"/>
        </w:rPr>
        <w:t xml:space="preserve">екта, его границ, координат или степени готовности);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соответствие разрешенного использования земельного участка;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отсутствие споров о границах земельного участка;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отсутствие обременений объектов недвижимости (аресты, залоги);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что границы земельн</w:t>
      </w:r>
      <w:r>
        <w:rPr>
          <w:b w:val="0"/>
          <w:bCs w:val="0"/>
          <w:color w:val="292c2f"/>
          <w:highlight w:val="none"/>
          <w14:ligatures w14:val="none"/>
        </w:rPr>
        <w:t xml:space="preserve">ого участка уточнены.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17. </w:t>
      </w:r>
      <w:r>
        <w:rPr>
          <w:b/>
          <w:bCs/>
          <w:color w:val="292c2f"/>
          <w:highlight w:val="none"/>
          <w14:ligatures w14:val="none"/>
        </w:rPr>
        <w:t xml:space="preserve">«В 1 полугодии 2025 года в Новосибирской области обследовано более 95 тысяч гектаров земли»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Новосибирский Росреестр за 1 полугодие провел 2109 наблюдений за соблюдением обязательных требований земельного законодательства в регионе, 746 выездных обследований земельных участков. Всего обследовано 96 480 тысяч гектаров земель, владельцам земельных у</w:t>
      </w:r>
      <w:r>
        <w:rPr>
          <w:b w:val="0"/>
          <w:bCs w:val="0"/>
          <w:color w:val="292c2f"/>
          <w:highlight w:val="none"/>
          <w14:ligatures w14:val="none"/>
        </w:rPr>
        <w:t xml:space="preserve">частков выдано 1052 предостережения о недопустимости нарушений обязательных требований земельного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Такие обследования проводятся без непосредственного участия собственников земельных участков, а при наблюдении за соблюдением обязательных </w:t>
      </w:r>
      <w:r>
        <w:rPr>
          <w:b w:val="0"/>
          <w:bCs w:val="0"/>
          <w:color w:val="292c2f"/>
          <w:highlight w:val="none"/>
          <w14:ligatures w14:val="none"/>
        </w:rPr>
        <w:t xml:space="preserve">требований земельного законодательства инспекторы самостоятельно исследуют состояние и способы использования земельного участка на основании информации во всех доступных, легальных источниках, не выезжая на местность.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Напоминаем, что правообладатели земел</w:t>
      </w:r>
      <w:r>
        <w:rPr>
          <w:b w:val="0"/>
          <w:bCs w:val="0"/>
          <w:color w:val="292c2f"/>
          <w:highlight w:val="none"/>
          <w14:ligatures w14:val="none"/>
        </w:rPr>
        <w:t xml:space="preserve">ьных участков имеют возможность самостоятельно оценить соблюдение обязательных требований земельного законодательства на сайте </w:t>
      </w:r>
      <w:hyperlink r:id="rId41" w:tooltip="https://rosreestr.gov.ru/activity/gosudarstvennyy-nadzor/gosudarstvennyy-zemelnyy-kontrol-nadzor/samostoyatelnaya-otsenka-soblyudeniya-obyazatelnykh-trebovaniy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Росреестра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в разделе «Деятельность – Государственный надзор – Государственный земельный надзор - Самостоятельная оценка соблюдения обязательных требований».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18. </w:t>
      </w:r>
      <w:r>
        <w:rPr>
          <w:b/>
          <w:bCs/>
          <w:color w:val="292c2f"/>
          <w:highlight w:val="none"/>
          <w14:ligatures w14:val="none"/>
        </w:rPr>
        <w:t xml:space="preserve">Вопросы применения Национальной системы пространственных данных обсудили в ходе рабочего совещания в р.п. Краснозерское Новосибирской области.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Продолжается серия рабочих встреч руководства новосибирского Росреестра с представителями органов местного самоуправления Новосибирской области.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минувшей неделе встреча прошла в рабочем поселке Краснозерское с участием руководителя Управления Росреестр</w:t>
      </w:r>
      <w:r>
        <w:rPr>
          <w:b w:val="0"/>
          <w:bCs w:val="0"/>
          <w:color w:val="292c2f"/>
          <w:highlight w:val="none"/>
          <w14:ligatures w14:val="none"/>
        </w:rPr>
        <w:t xml:space="preserve">а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Светланы Рягузовой</w:t>
      </w:r>
      <w:r>
        <w:rPr>
          <w:b w:val="0"/>
          <w:bCs w:val="0"/>
          <w:color w:val="292c2f"/>
          <w:highlight w:val="none"/>
          <w14:ligatures w14:val="none"/>
        </w:rPr>
        <w:t xml:space="preserve">, заместителя руководителя Управления </w:t>
      </w:r>
      <w:r>
        <w:rPr>
          <w:b w:val="0"/>
          <w:bCs w:val="0"/>
          <w:color w:val="292c2f"/>
          <w:highlight w:val="none"/>
          <w14:ligatures w14:val="none"/>
        </w:rPr>
        <w:t xml:space="preserve">Ивана Пархоменко</w:t>
      </w:r>
      <w:r>
        <w:rPr>
          <w:b w:val="0"/>
          <w:bCs w:val="0"/>
          <w:color w:val="292c2f"/>
          <w:highlight w:val="none"/>
          <w14:ligatures w14:val="none"/>
        </w:rPr>
        <w:t xml:space="preserve">, и.о. главы Краснозерского района</w:t>
      </w:r>
      <w:r>
        <w:rPr>
          <w:b w:val="0"/>
          <w:bCs w:val="0"/>
          <w:color w:val="292c2f"/>
          <w:highlight w:val="none"/>
          <w14:ligatures w14:val="none"/>
        </w:rPr>
        <w:t xml:space="preserve"> Марины Шевлюга</w:t>
      </w:r>
      <w:r>
        <w:rPr>
          <w:b w:val="0"/>
          <w:bCs w:val="0"/>
          <w:color w:val="292c2f"/>
          <w:highlight w:val="none"/>
          <w14:ligatures w14:val="none"/>
        </w:rPr>
        <w:t xml:space="preserve">, представителей администрации и сельских советов района.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Руководитель регионального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Светлана Рягузова</w:t>
      </w:r>
      <w:r>
        <w:rPr>
          <w:b w:val="0"/>
          <w:bCs w:val="0"/>
          <w:color w:val="292c2f"/>
          <w:highlight w:val="none"/>
          <w14:ligatures w14:val="none"/>
        </w:rPr>
        <w:t xml:space="preserve"> выступила перед участниками с приветственным словом, в котором отметила большое значение эффективного взаимодействия Управления Росреестра и органов местного самоуправления для решения задач в области повышения качества оказания услуг населению и развития</w:t>
      </w:r>
      <w:r>
        <w:rPr>
          <w:b w:val="0"/>
          <w:bCs w:val="0"/>
          <w:color w:val="292c2f"/>
          <w:highlight w:val="none"/>
          <w14:ligatures w14:val="none"/>
        </w:rPr>
        <w:t xml:space="preserve"> региона.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Представители Управления Росреестра по Новосибирской области продемонстрировали результаты по наполнению Единого государственного реестра недвижимости (ЕГРН) необходимыми сведениями в части объектов недвижимости и границ Краснозерского района.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Так, результативность выполнения работ по выявлению правообладателей ранее учтенных объектов недвижимости в районе составила 81%, этот показатель немного ниже среднего по региону (83%). Организована работа по установлению границ земельных участков и админи</w:t>
      </w:r>
      <w:r>
        <w:rPr>
          <w:b w:val="0"/>
          <w:bCs w:val="0"/>
          <w:color w:val="292c2f"/>
          <w:highlight w:val="none"/>
          <w14:ligatures w14:val="none"/>
        </w:rPr>
        <w:t xml:space="preserve">стративно-территориальных границ, в результате в ЕГРН внесены 40% границ земельных участков Краснозерского района, 90% границ населенных пунктов и 97,7% границ территориальных зон. Результаты комплексных кадастровых работ, проведенных в районе в предыдущие</w:t>
      </w:r>
      <w:r>
        <w:rPr>
          <w:b w:val="0"/>
          <w:bCs w:val="0"/>
          <w:color w:val="292c2f"/>
          <w:highlight w:val="none"/>
          <w14:ligatures w14:val="none"/>
        </w:rPr>
        <w:t xml:space="preserve"> годы, способствовали положительной динамике в части внесения в ЕГРН полных и точных сведений о границах населенных пунктов и территориальных зон, всего в течение 2024-2024гг такие работы проведены в отношении 20 кадастровых кварталов.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Из 145 объектов мун</w:t>
      </w:r>
      <w:r>
        <w:rPr>
          <w:b w:val="0"/>
          <w:bCs w:val="0"/>
          <w:color w:val="292c2f"/>
          <w:highlight w:val="none"/>
          <w14:ligatures w14:val="none"/>
        </w:rPr>
        <w:t xml:space="preserve">иципальной собственности в реестр недвижимости внесены сведения в отношении 29, данную работу планируется завершить до конца 2026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руководителя новосибирского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Иван Пархоменко</w:t>
      </w:r>
      <w:r>
        <w:rPr>
          <w:b w:val="0"/>
          <w:bCs w:val="0"/>
          <w:color w:val="292c2f"/>
          <w:highlight w:val="none"/>
          <w14:ligatures w14:val="none"/>
        </w:rPr>
        <w:t xml:space="preserve"> продемонстрировал участникам встречи возможности платформы «Национальная система пространственных данных» (НСПД) для оказания муниципальных услуг, показал, как работать с самым востребованным для специалистов муниципальных образований сервисом НСПД «Градо</w:t>
      </w:r>
      <w:r>
        <w:rPr>
          <w:b w:val="0"/>
          <w:bCs w:val="0"/>
          <w:color w:val="292c2f"/>
          <w:highlight w:val="none"/>
          <w14:ligatures w14:val="none"/>
        </w:rPr>
        <w:t xml:space="preserve">строительная проработка онлайн».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Особое внимание в выступлении заместителя руководителя новосибирского Росреестра было уделено вопросам проведения мероприятий муниципального земельного контроля: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«В целях соблюдения владельцами земельных участков обязательных требований земельного законодательства рекомендуем органам местного самоуправления проводить плановую профилактическую работу в целях предупреждения нарушений требований земельного законодател</w:t>
      </w:r>
      <w:r>
        <w:rPr>
          <w:b w:val="0"/>
          <w:bCs w:val="0"/>
          <w:color w:val="292c2f"/>
          <w:highlight w:val="none"/>
          <w14:ligatures w14:val="none"/>
        </w:rPr>
        <w:t xml:space="preserve">ьства, проведения разъяснительной работы среди землепользователей»</w:t>
      </w:r>
      <w:r>
        <w:rPr>
          <w:b w:val="0"/>
          <w:bCs w:val="0"/>
          <w:color w:val="292c2f"/>
          <w:highlight w:val="none"/>
          <w14:ligatures w14:val="none"/>
        </w:rPr>
        <w:t xml:space="preserve">, - отметил </w:t>
      </w:r>
      <w:r>
        <w:rPr>
          <w:b w:val="0"/>
          <w:bCs w:val="0"/>
          <w:color w:val="292c2f"/>
          <w:highlight w:val="none"/>
          <w14:ligatures w14:val="none"/>
        </w:rPr>
        <w:t xml:space="preserve">Иван Пархоменко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рамках выступлений были озвучены новеллы законодательства 2025 года в сфере оформления недвижимости, также были даны разъяснения о признаках неиспользования земельных участков из состава земель населенных пунктов, садовых и огородных участков, перечен</w:t>
      </w:r>
      <w:r>
        <w:rPr>
          <w:b w:val="0"/>
          <w:bCs w:val="0"/>
          <w:color w:val="292c2f"/>
          <w:highlight w:val="none"/>
          <w14:ligatures w14:val="none"/>
        </w:rPr>
        <w:t xml:space="preserve">ь которых вступает в силу с 1 сентября 2025 года в соответствии с </w:t>
      </w:r>
      <w:hyperlink r:id="rId42" w:tooltip="http://publication.pravo.gov.ru/document/0001202506020049?ysclid=mdswxepsjy510352874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постановлением Правительства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РФ от 31.05.2025 № 826. Теперь правообладатели будут четко знать, чего нельзя допускать на своих земельных участках, а также сроки для принятия мер по самостоятельному устранению признаков неиспользования земли.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Перед органами местного самоуправления пос</w:t>
      </w:r>
      <w:r>
        <w:rPr>
          <w:b w:val="0"/>
          <w:bCs w:val="0"/>
          <w:color w:val="292c2f"/>
          <w:highlight w:val="none"/>
          <w14:ligatures w14:val="none"/>
        </w:rPr>
        <w:t xml:space="preserve">тавлены задачи о завершении работ по наполнению ЕГРН полными и точными сведениями о правообладателях объектов недвижимости, о границах, даны рекомендации по оформлению прав на объекты муниципальной собственности, по расширению практики проведения среди зем</w:t>
      </w:r>
      <w:r>
        <w:rPr>
          <w:b w:val="0"/>
          <w:bCs w:val="0"/>
          <w:color w:val="292c2f"/>
          <w:highlight w:val="none"/>
          <w14:ligatures w14:val="none"/>
        </w:rPr>
        <w:t xml:space="preserve">лепользователей контрольных (надзорных) и профилактических мероприятий по соблюдению требований земельного законодательства.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«Благодарим руководство новосибирского Росреестра за полезную и информативную встречу. Представленная информация обеспечит эффективную работу в сфере недвижимости на территориях муниципальных образований района»</w:t>
      </w:r>
      <w:r>
        <w:rPr>
          <w:b w:val="0"/>
          <w:bCs w:val="0"/>
          <w:color w:val="292c2f"/>
          <w:highlight w:val="none"/>
          <w14:ligatures w14:val="none"/>
        </w:rPr>
        <w:t xml:space="preserve">, - прокомментировала итоги встречи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Марина Шевлюга </w:t>
      </w:r>
      <w:r>
        <w:rPr>
          <w:b w:val="0"/>
          <w:bCs w:val="0"/>
          <w:color w:val="292c2f"/>
          <w:highlight w:val="none"/>
          <w14:ligatures w14:val="none"/>
        </w:rPr>
        <w:t xml:space="preserve">и.о. главы Краснозерского района Новосибирской области.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19. </w:t>
      </w:r>
      <w:r>
        <w:rPr>
          <w:b/>
          <w:bCs/>
          <w:color w:val="292c2f"/>
          <w:highlight w:val="none"/>
          <w14:ligatures w14:val="none"/>
        </w:rPr>
        <w:t xml:space="preserve">Более 50 тыс запретов на регистрацию сделок установили новосибирцы.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начала 2025 года в Управление Росреестра по Новосибирской области поступило свыше 10 тыс. заявлений о запрете регистрации сделок без личного участия собственника. Это максимальный показатель за всю историю оказания услуги в регионе.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Такой услугой, котор</w:t>
      </w:r>
      <w:r>
        <w:rPr>
          <w:b w:val="0"/>
          <w:bCs w:val="0"/>
          <w:color w:val="292c2f"/>
          <w:highlight w:val="none"/>
          <w14:ligatures w14:val="none"/>
        </w:rPr>
        <w:t xml:space="preserve">ая была введена Росреестром в 2013 году в целях борьбы с мошенническими действиями в отношении недвижимости, воспользовались более 50 тыс. новосибирцев.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«Положительная динамика поступающих заявлений о невозможности государственной регистрации сделок с недвижимостью без личного участия собственника свидетельствует об активной позиции новосибирцев по защите своих объектов. За последние три года количество по</w:t>
      </w:r>
      <w:r>
        <w:rPr>
          <w:b w:val="0"/>
          <w:bCs w:val="0"/>
          <w:color w:val="292c2f"/>
          <w:highlight w:val="none"/>
          <w14:ligatures w14:val="none"/>
        </w:rPr>
        <w:t xml:space="preserve">ступающих заявлений о запрете увеличилось в пять раз. При поступлении соответствующего заявления в Едином государственном реестре недвижимости устанавливается особая отметка, которая не позволит зарегистрировать сделку, если в ее процедуре не участвует сам</w:t>
      </w:r>
      <w:r>
        <w:rPr>
          <w:b w:val="0"/>
          <w:bCs w:val="0"/>
          <w:color w:val="292c2f"/>
          <w:highlight w:val="none"/>
          <w14:ligatures w14:val="none"/>
        </w:rPr>
        <w:t xml:space="preserve"> собственник объекта. Данная мера защищает владельцев недвижимости от мошеннических действий и дальнейших длительных судебных   разбирательств»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сообщила руководитель Управления Росреестра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Светлана Рягузова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внесения в ЕГРН записи о невозможности регистрации перехода, прекращения, ограничения права или обременения объекта недвижимости без личного участия собственника или его представителя необходимо подать соответствующее заявление. Это можно сделать он</w:t>
      </w:r>
      <w:r>
        <w:rPr>
          <w:b w:val="0"/>
          <w:bCs w:val="0"/>
          <w:color w:val="292c2f"/>
          <w:highlight w:val="none"/>
          <w14:ligatures w14:val="none"/>
        </w:rPr>
        <w:t xml:space="preserve">лайн на сайте Росреестра, на портале Госуслуг или лично при обращении в МФЦ.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20. Профилактический визит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Профилактический визит — это один из видов профилактических мероприятий Управления Росреестра по Новосибирской области, который проводится инспектором в виде беседы, в том числе посредством видеосвязи или мобильного приложения «Инспектор», с собственником </w:t>
      </w:r>
      <w:r>
        <w:rPr>
          <w:b w:val="0"/>
          <w:bCs w:val="0"/>
          <w:color w:val="292c2f"/>
          <w:highlight w:val="none"/>
          <w14:ligatures w14:val="none"/>
        </w:rPr>
        <w:t xml:space="preserve">земельного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Управление Росреестра по Новосибирской области информирует о том, что с 2025 года установлен новый порядок проведения профилактических визитов в рамках осуществления государственного земельного надзора.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Теперь профилактические визиты </w:t>
      </w:r>
      <w:r>
        <w:rPr>
          <w:b w:val="0"/>
          <w:bCs w:val="0"/>
          <w:color w:val="292c2f"/>
          <w:highlight w:val="none"/>
          <w14:ligatures w14:val="none"/>
        </w:rPr>
        <w:t xml:space="preserve">проводятся по инициативе контрольного (надзорного) органа (обязательный профилактический визит) или по инициативе контролируемого лица.</w:t>
        <w:br/>
        <w:t xml:space="preserve">Обязательный профилактический визит проводится в отношении конкретных объектов контроля в зависимости от присвоенной им </w:t>
      </w:r>
      <w:r>
        <w:rPr>
          <w:b w:val="0"/>
          <w:bCs w:val="0"/>
          <w:color w:val="292c2f"/>
          <w:highlight w:val="none"/>
          <w14:ligatures w14:val="none"/>
        </w:rPr>
        <w:t xml:space="preserve">категории риска.  Срок проведения мероприятия составляет не более 10 рабочих дней. В рамках обязательного профилактического визита может проводиться осмотр, истребование необходимых документов, инструментальное обследование. На текущий момент Управлением Р</w:t>
      </w:r>
      <w:r>
        <w:rPr>
          <w:b w:val="0"/>
          <w:bCs w:val="0"/>
          <w:color w:val="292c2f"/>
          <w:highlight w:val="none"/>
          <w14:ligatures w14:val="none"/>
        </w:rPr>
        <w:t xml:space="preserve">осреестра в рамках земельного надзора не проводятся обязательные профилактические визиты, так как законодательством о земельном надзоре не предусмотрена периодичность их проведения.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Профилактический визит по инициативе контролируемого лица проводится толь</w:t>
      </w:r>
      <w:r>
        <w:rPr>
          <w:b w:val="0"/>
          <w:bCs w:val="0"/>
          <w:color w:val="292c2f"/>
          <w:highlight w:val="none"/>
          <w14:ligatures w14:val="none"/>
        </w:rPr>
        <w:t xml:space="preserve">ко по заявлению субъекта малого предпринимательства, социально ориентированной некоммерческой организации либо государственного или муниципального учреждения. Заявление о проведении профилактического визита подается на Едином портале государственных и муни</w:t>
      </w:r>
      <w:r>
        <w:rPr>
          <w:b w:val="0"/>
          <w:bCs w:val="0"/>
          <w:color w:val="292c2f"/>
          <w:highlight w:val="none"/>
          <w14:ligatures w14:val="none"/>
        </w:rPr>
        <w:t xml:space="preserve">ципальных услуг по ссылке </w:t>
      </w:r>
      <w:hyperlink r:id="rId43" w:tooltip="https://www.gosuslugi.ru/626705/1/form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https://www.gosuslugi.ru/626705/1/form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или в системе «Типовое облачное решение по автоматизации контрольной (надзорной) деятельности» (ГИС ТОР КНД).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21. </w:t>
      </w:r>
      <w:r>
        <w:rPr>
          <w:b/>
          <w:bCs/>
          <w:color w:val="292c2f"/>
          <w:highlight w:val="none"/>
          <w14:ligatures w14:val="none"/>
        </w:rPr>
        <w:t xml:space="preserve">Свыше 62,5 тысяч договоров аренды недвижимости зарегистрировано в Новосибирской области.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Более 62,5 тысяч договоров аренды недвижимого имущества Новосибирской области внесено в Единый государственный реестр недвижимости (ЕГРН) по состоянию на 1 июля 2025 года. С начала 2025 года внесено более 8 тысяч договоров аренды, увеличив показатель почти</w:t>
      </w:r>
      <w:r>
        <w:rPr>
          <w:b w:val="0"/>
          <w:bCs w:val="0"/>
          <w:color w:val="292c2f"/>
          <w:highlight w:val="none"/>
          <w14:ligatures w14:val="none"/>
        </w:rPr>
        <w:t xml:space="preserve"> на 2%.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Чаще всего аренду новосибирцы регистрируют в отношении земельных участков – 42,8 тысяч актуальных записей внесены в ЕГРН, на эти объекты приходится 68% всех арендных отношений. С начала года зарегистрировано более 6 тысяч договоров аренды земли. Следует от</w:t>
      </w:r>
      <w:r>
        <w:rPr>
          <w:b w:val="0"/>
          <w:bCs w:val="0"/>
          <w:color w:val="292c2f"/>
          <w:highlight w:val="none"/>
          <w14:ligatures w14:val="none"/>
        </w:rPr>
        <w:t xml:space="preserve">метить, что Сибирский федеральный округ занимает лидирующую позицию среди других федеральных округов по числу регистраций аренды земли в 2025 году с показателем 56,7 тыс. договоров.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Положительная динамика отмечается в Новосибирской области и по регистрации аренды объектов капитального строительства. Треть всех договоров аренды недвижимости в регионе зарегистрировано в отношении зданий, сооружений и помещений – более 19 тысяч. С начала</w:t>
      </w:r>
      <w:r>
        <w:rPr>
          <w:b w:val="0"/>
          <w:bCs w:val="0"/>
          <w:color w:val="292c2f"/>
          <w:highlight w:val="none"/>
          <w14:ligatures w14:val="none"/>
        </w:rPr>
        <w:t xml:space="preserve"> года это количество выросло на 2%.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«Государственная регистрация сделки аренды недвижимого имущества обязательна в случае заключения договора на срок от одного года</w:t>
      </w:r>
      <w:r>
        <w:rPr>
          <w:b w:val="0"/>
          <w:bCs w:val="0"/>
          <w:color w:val="292c2f"/>
          <w:highlight w:val="none"/>
          <w14:ligatures w14:val="none"/>
        </w:rPr>
        <w:t xml:space="preserve">, - напоминает заместитель руководителя Управления Росреестра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Наталья Ивчатова</w:t>
      </w:r>
      <w:r>
        <w:rPr>
          <w:b w:val="0"/>
          <w:bCs w:val="0"/>
          <w:color w:val="292c2f"/>
          <w:highlight w:val="none"/>
          <w14:ligatures w14:val="none"/>
        </w:rPr>
        <w:t xml:space="preserve">. – </w:t>
      </w:r>
      <w:r>
        <w:rPr>
          <w:b w:val="0"/>
          <w:bCs w:val="0"/>
          <w:color w:val="292c2f"/>
          <w:highlight w:val="none"/>
          <w14:ligatures w14:val="none"/>
        </w:rPr>
        <w:t xml:space="preserve">Наличие сведений в Едином государственном реестре недвижимости о регистрации аренды земельного участка, квартиры, дома - это защита прав нанимателя, гарантия того, что объект не будет передан другому лицу»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Подать документы для регистрации сделки по аренде можно через любой офис МФЦ вне зависимости от места расположения объекта недвижимости, или в электронном виде через Личный кабинет на официальном </w:t>
      </w:r>
      <w:hyperlink r:id="rId44" w:tooltip="https://rosreestr.gov.ru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сайте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Росреестра либо на портале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br/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10000000000000000"/>
  </w:font>
  <w:font w:name="Courier New">
    <w:panose1 w:val="02070409020205020404"/>
  </w:font>
  <w:font w:name="Symbol">
    <w:panose1 w:val="05010000000000000000"/>
  </w:font>
  <w:font w:name="Calibri Light">
    <w:panose1 w:val="020F0502020204030204"/>
  </w:font>
  <w:font w:name="Tahoma">
    <w:panose1 w:val="020B0604030504040204"/>
  </w:font>
  <w:font w:name="Calibri">
    <w:panose1 w:val="020F0502020204030204"/>
  </w:font>
  <w:font w:name="Times New Roman">
    <w:panose1 w:val="02020603050405020304"/>
  </w:font>
  <w:font w:name="Arial">
    <w:panose1 w:val="020B060402020202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1017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  <w:footnote w:id="2">
    <w:p>
      <w:pPr>
        <w:pStyle w:val="998"/>
        <w:rPr>
          <w:rFonts w:ascii="Times New Roman" w:hAnsi="Times New Roman" w:cs="Times New Roman"/>
        </w:rPr>
      </w:pPr>
      <w:r>
        <w:rPr>
          <w:rStyle w:val="1000"/>
          <w:rFonts w:ascii="Times New Roman" w:hAnsi="Times New Roman" w:cs="Times New Roman"/>
        </w:rPr>
        <w:footnoteRef/>
      </w:r>
      <w:r>
        <w:rPr>
          <w:rFonts w:ascii="Times New Roman" w:hAnsi="Times New Roman" w:cs="Times New Roman"/>
        </w:rPr>
        <w:t xml:space="preserve"> Федеральный закон от 13.07.2015 № 218-ФЗ «О государственной регистрации недвижимости».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</w:footnote>
  <w:footnote w:id="3">
    <w:p>
      <w:pPr>
        <w:pStyle w:val="998"/>
        <w:rPr>
          <w:rFonts w:ascii="Times New Roman" w:hAnsi="Times New Roman" w:cs="Times New Roman"/>
        </w:rPr>
      </w:pPr>
      <w:r>
        <w:rPr>
          <w:rStyle w:val="1000"/>
          <w:rFonts w:ascii="Times New Roman" w:hAnsi="Times New Roman" w:cs="Times New Roman"/>
        </w:rPr>
        <w:footnoteRef/>
      </w:r>
      <w:r>
        <w:rPr>
          <w:rFonts w:ascii="Times New Roman" w:hAnsi="Times New Roman" w:cs="Times New Roman"/>
        </w:rPr>
        <w:t xml:space="preserve"> Единый государственный реестр недвижимости.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91"/>
      <w:jc w:val="center"/>
      <w:rPr>
        <w:color w:val="auto"/>
        <w:highlight w:val="none"/>
      </w:rPr>
    </w:pPr>
    <w:fldSimple w:instr="PAGE \* MERGEFORMAT">
      <w:r>
        <w:rPr>
          <w:color w:val="auto"/>
        </w:rPr>
        <w:t xml:space="preserve">1</w:t>
      </w:r>
    </w:fldSimple>
    <w:r>
      <w:rPr>
        <w:color w:val="auto"/>
      </w:rPr>
    </w:r>
    <w:r>
      <w:rPr>
        <w:color w:val="auto"/>
        <w:highlight w:val="none"/>
      </w:rPr>
    </w:r>
    <w:r>
      <w:rPr>
        <w:color w:val="auto"/>
        <w:highlight w:val="none"/>
      </w:rPr>
    </w:r>
  </w:p>
  <w:p>
    <w:pPr>
      <w:pStyle w:val="991"/>
      <w:jc w:val="center"/>
    </w:pPr>
    <w:r>
      <w:rPr>
        <w:color w:val="auto"/>
        <w:highlight w:val="none"/>
      </w:rPr>
    </w:r>
    <w:r>
      <w:rPr>
        <w:color w:val="auto"/>
        <w:highlight w:val="none"/>
      </w:rPr>
    </w:r>
    <w:r/>
  </w:p>
  <w:p>
    <w:pPr>
      <w:pStyle w:val="991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91"/>
      <w:jc w:val="center"/>
      <w:rPr>
        <w:color w:val="ffffff" w:themeColor="background1"/>
      </w:rPr>
    </w:pPr>
    <w:fldSimple w:instr="PAGE \* MERGEFORMAT">
      <w:r>
        <w:rPr>
          <w:color w:val="ffffff" w:themeColor="background1"/>
        </w:rPr>
        <w:t xml:space="preserve">1</w:t>
      </w:r>
    </w:fldSimple>
    <w:r>
      <w:rPr>
        <w:color w:val="ffffff" w:themeColor="background1"/>
      </w:rPr>
    </w:r>
    <w:r>
      <w:rPr>
        <w:color w:val="ffffff" w:themeColor="background1"/>
      </w:rPr>
    </w:r>
    <w:r>
      <w:rPr>
        <w:color w:val="ffffff" w:themeColor="background1"/>
      </w:rPr>
    </w:r>
  </w:p>
  <w:p>
    <w:pPr>
      <w:pStyle w:val="991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2"/>
      <w:numFmt w:val="decimal"/>
      <w:isLgl w:val="false"/>
      <w:suff w:val="tab"/>
      <w:lvlText w:val="%1."/>
      <w:lvlJc w:val="left"/>
      <w:pPr>
        <w:ind w:left="1083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  <w:sz w:val="20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4">
    <w:multiLevelType w:val="hybridMultilevel"/>
    <w:lvl w:ilvl="0">
      <w:start w:val="10"/>
      <w:numFmt w:val="decimal"/>
      <w:isLgl w:val="false"/>
      <w:suff w:val="tab"/>
      <w:lvlText w:val="%1."/>
      <w:lvlJc w:val="left"/>
      <w:pPr>
        <w:ind w:left="1083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74" w:hanging="46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  <w:sz w:val="20"/>
      </w:r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44" w:hanging="435"/>
      </w:pPr>
      <w:rPr>
        <w:rFonts w:hint="default"/>
        <w:color w:val="auto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2">
    <w:multiLevelType w:val="hybridMultilevel"/>
    <w:lvl w:ilvl="0">
      <w:start w:val="7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1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5">
    <w:multiLevelType w:val="hybridMultilevel"/>
    <w:lvl w:ilvl="0">
      <w:start w:val="4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2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1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7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9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0">
    <w:multiLevelType w:val="hybridMultilevel"/>
    <w:lvl w:ilvl="0">
      <w:start w:val="19"/>
      <w:numFmt w:val="decimal"/>
      <w:isLgl w:val="false"/>
      <w:suff w:val="tab"/>
      <w:lvlText w:val="%1."/>
      <w:lvlJc w:val="left"/>
      <w:pPr>
        <w:ind w:left="1084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2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23">
    <w:multiLevelType w:val="hybridMultilevel"/>
    <w:lvl w:ilvl="0">
      <w:start w:val="2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2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2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26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98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70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42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14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86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58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30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020" w:hanging="360"/>
      </w:pPr>
      <w:rPr>
        <w:rFonts w:hint="default" w:ascii="Wingdings" w:hAnsi="Wingdings"/>
      </w:rPr>
    </w:lvl>
  </w:abstractNum>
  <w:abstractNum w:abstractNumId="29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 w:eastAsia="Times New Roman"/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  <w:b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3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7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44" w:hanging="435"/>
      </w:pPr>
      <w:rPr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615" w:hanging="615"/>
      </w:pPr>
    </w:lvl>
    <w:lvl w:ilvl="1">
      <w:start w:val="1"/>
      <w:numFmt w:val="decimal"/>
      <w:isLgl w:val="false"/>
      <w:suff w:val="tab"/>
      <w:lvlText w:val="%2."/>
      <w:lvlJc w:val="left"/>
      <w:pPr>
        <w:ind w:left="1951" w:hanging="720"/>
      </w:pPr>
      <w:rPr>
        <w:rFonts w:ascii="Times New Roman" w:hAnsi="Times New Roman" w:eastAsia="Calibri" w:cs="Times New Roman"/>
      </w:rPr>
    </w:lvl>
    <w:lvl w:ilvl="2">
      <w:start w:val="1"/>
      <w:numFmt w:val="decimal"/>
      <w:isLgl w:val="false"/>
      <w:suff w:val="tab"/>
      <w:lvlText w:val="%1.%2.%3."/>
      <w:lvlJc w:val="left"/>
      <w:pPr>
        <w:ind w:left="3182" w:hanging="720"/>
      </w:pPr>
    </w:lvl>
    <w:lvl w:ilvl="3">
      <w:start w:val="1"/>
      <w:numFmt w:val="decimal"/>
      <w:isLgl w:val="false"/>
      <w:suff w:val="tab"/>
      <w:lvlText w:val="%1.%2.%3.%4."/>
      <w:lvlJc w:val="left"/>
      <w:pPr>
        <w:ind w:left="4773" w:hanging="1080"/>
      </w:pPr>
    </w:lvl>
    <w:lvl w:ilvl="4">
      <w:start w:val="1"/>
      <w:numFmt w:val="decimal"/>
      <w:isLgl w:val="false"/>
      <w:suff w:val="tab"/>
      <w:lvlText w:val="%1.%2.%3.%4.%5."/>
      <w:lvlJc w:val="left"/>
      <w:pPr>
        <w:ind w:left="6004" w:hanging="1080"/>
      </w:pPr>
    </w:lvl>
    <w:lvl w:ilvl="5">
      <w:start w:val="1"/>
      <w:numFmt w:val="decimal"/>
      <w:isLgl w:val="false"/>
      <w:suff w:val="tab"/>
      <w:lvlText w:val="%1.%2.%3.%4.%5.%6."/>
      <w:lvlJc w:val="left"/>
      <w:pPr>
        <w:ind w:left="7595" w:hanging="1440"/>
      </w:pPr>
    </w:lvl>
    <w:lvl w:ilvl="6">
      <w:start w:val="1"/>
      <w:numFmt w:val="decimal"/>
      <w:isLgl w:val="false"/>
      <w:suff w:val="tab"/>
      <w:lvlText w:val="%1.%2.%3.%4.%5.%6.%7."/>
      <w:lvlJc w:val="left"/>
      <w:pPr>
        <w:ind w:left="9186" w:hanging="1800"/>
      </w:pPr>
    </w:lvl>
    <w:lvl w:ilvl="7">
      <w:start w:val="1"/>
      <w:numFmt w:val="decimal"/>
      <w:isLgl w:val="false"/>
      <w:suff w:val="tab"/>
      <w:lvlText w:val="%1.%2.%3.%4.%5.%6.%7.%8."/>
      <w:lvlJc w:val="left"/>
      <w:pPr>
        <w:ind w:left="10417" w:hanging="1800"/>
      </w:pPr>
    </w:lvl>
    <w:lvl w:ilvl="8">
      <w:start w:val="1"/>
      <w:numFmt w:val="decimal"/>
      <w:isLgl w:val="false"/>
      <w:suff w:val="tab"/>
      <w:lvlText w:val="%1.%2.%3.%4.%5.%6.%7.%8.%9."/>
      <w:lvlJc w:val="left"/>
      <w:pPr>
        <w:ind w:left="12008" w:hanging="2160"/>
      </w:pPr>
    </w:lvl>
  </w:abstractNum>
  <w:abstractNum w:abstractNumId="39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1637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4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6"/>
  </w:num>
  <w:num w:numId="3">
    <w:abstractNumId w:val="30"/>
  </w:num>
  <w:num w:numId="4">
    <w:abstractNumId w:val="16"/>
  </w:num>
  <w:num w:numId="5">
    <w:abstractNumId w:val="28"/>
  </w:num>
  <w:num w:numId="6">
    <w:abstractNumId w:val="21"/>
  </w:num>
  <w:num w:numId="7">
    <w:abstractNumId w:val="17"/>
  </w:num>
  <w:num w:numId="8">
    <w:abstractNumId w:val="14"/>
  </w:num>
  <w:num w:numId="9">
    <w:abstractNumId w:val="35"/>
  </w:num>
  <w:num w:numId="10">
    <w:abstractNumId w:val="19"/>
  </w:num>
  <w:num w:numId="11">
    <w:abstractNumId w:val="11"/>
  </w:num>
  <w:num w:numId="12">
    <w:abstractNumId w:val="33"/>
  </w:num>
  <w:num w:numId="13">
    <w:abstractNumId w:val="3"/>
  </w:num>
  <w:num w:numId="14">
    <w:abstractNumId w:val="1"/>
  </w:num>
  <w:num w:numId="15">
    <w:abstractNumId w:val="5"/>
  </w:num>
  <w:num w:numId="16">
    <w:abstractNumId w:val="12"/>
  </w:num>
  <w:num w:numId="17">
    <w:abstractNumId w:val="24"/>
  </w:num>
  <w:num w:numId="18">
    <w:abstractNumId w:val="25"/>
  </w:num>
  <w:num w:numId="19">
    <w:abstractNumId w:val="22"/>
  </w:num>
  <w:num w:numId="20">
    <w:abstractNumId w:val="20"/>
  </w:num>
  <w:num w:numId="21">
    <w:abstractNumId w:val="31"/>
  </w:num>
  <w:num w:numId="22">
    <w:abstractNumId w:val="32"/>
  </w:num>
  <w:num w:numId="23">
    <w:abstractNumId w:val="2"/>
  </w:num>
  <w:num w:numId="24">
    <w:abstractNumId w:val="10"/>
  </w:num>
  <w:num w:numId="25">
    <w:abstractNumId w:val="6"/>
  </w:num>
  <w:num w:numId="26">
    <w:abstractNumId w:val="13"/>
  </w:num>
  <w:num w:numId="27">
    <w:abstractNumId w:val="7"/>
  </w:num>
  <w:num w:numId="28">
    <w:abstractNumId w:val="23"/>
  </w:num>
  <w:num w:numId="29">
    <w:abstractNumId w:val="4"/>
  </w:num>
  <w:num w:numId="30">
    <w:abstractNumId w:val="34"/>
  </w:num>
  <w:num w:numId="31">
    <w:abstractNumId w:val="29"/>
  </w:num>
  <w:num w:numId="32">
    <w:abstractNumId w:val="27"/>
  </w:num>
  <w:num w:numId="33">
    <w:abstractNumId w:val="15"/>
  </w:num>
  <w:num w:numId="34">
    <w:abstractNumId w:val="9"/>
  </w:num>
  <w:num w:numId="35">
    <w:abstractNumId w:val="0"/>
  </w:num>
  <w:num w:numId="36">
    <w:abstractNumId w:val="18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  <w:num w:numId="41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813">
    <w:name w:val="Heading 1 Char"/>
    <w:basedOn w:val="984"/>
    <w:link w:val="981"/>
    <w:uiPriority w:val="9"/>
    <w:rPr>
      <w:rFonts w:ascii="Arial" w:hAnsi="Arial" w:eastAsia="Arial" w:cs="Arial"/>
      <w:sz w:val="40"/>
      <w:szCs w:val="40"/>
    </w:rPr>
  </w:style>
  <w:style w:type="character" w:styleId="814">
    <w:name w:val="Heading 2 Char"/>
    <w:basedOn w:val="984"/>
    <w:link w:val="982"/>
    <w:uiPriority w:val="9"/>
    <w:rPr>
      <w:rFonts w:ascii="Arial" w:hAnsi="Arial" w:eastAsia="Arial" w:cs="Arial"/>
      <w:sz w:val="34"/>
    </w:rPr>
  </w:style>
  <w:style w:type="character" w:styleId="815">
    <w:name w:val="Heading 3 Char"/>
    <w:basedOn w:val="984"/>
    <w:link w:val="983"/>
    <w:uiPriority w:val="9"/>
    <w:rPr>
      <w:rFonts w:ascii="Arial" w:hAnsi="Arial" w:eastAsia="Arial" w:cs="Arial"/>
      <w:sz w:val="30"/>
      <w:szCs w:val="30"/>
    </w:rPr>
  </w:style>
  <w:style w:type="paragraph" w:styleId="816">
    <w:name w:val="Heading 4"/>
    <w:basedOn w:val="980"/>
    <w:next w:val="980"/>
    <w:link w:val="817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817">
    <w:name w:val="Heading 4 Char"/>
    <w:basedOn w:val="984"/>
    <w:link w:val="816"/>
    <w:uiPriority w:val="9"/>
    <w:rPr>
      <w:rFonts w:ascii="Arial" w:hAnsi="Arial" w:eastAsia="Arial" w:cs="Arial"/>
      <w:b/>
      <w:bCs/>
      <w:sz w:val="26"/>
      <w:szCs w:val="26"/>
    </w:rPr>
  </w:style>
  <w:style w:type="paragraph" w:styleId="818">
    <w:name w:val="Heading 5"/>
    <w:basedOn w:val="980"/>
    <w:next w:val="980"/>
    <w:link w:val="819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819">
    <w:name w:val="Heading 5 Char"/>
    <w:basedOn w:val="984"/>
    <w:link w:val="818"/>
    <w:uiPriority w:val="9"/>
    <w:rPr>
      <w:rFonts w:ascii="Arial" w:hAnsi="Arial" w:eastAsia="Arial" w:cs="Arial"/>
      <w:b/>
      <w:bCs/>
      <w:sz w:val="24"/>
      <w:szCs w:val="24"/>
    </w:rPr>
  </w:style>
  <w:style w:type="paragraph" w:styleId="820">
    <w:name w:val="Heading 6"/>
    <w:basedOn w:val="980"/>
    <w:next w:val="980"/>
    <w:link w:val="821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821">
    <w:name w:val="Heading 6 Char"/>
    <w:basedOn w:val="984"/>
    <w:link w:val="820"/>
    <w:uiPriority w:val="9"/>
    <w:rPr>
      <w:rFonts w:ascii="Arial" w:hAnsi="Arial" w:eastAsia="Arial" w:cs="Arial"/>
      <w:b/>
      <w:bCs/>
      <w:sz w:val="22"/>
      <w:szCs w:val="22"/>
    </w:rPr>
  </w:style>
  <w:style w:type="paragraph" w:styleId="822">
    <w:name w:val="Heading 7"/>
    <w:basedOn w:val="980"/>
    <w:next w:val="980"/>
    <w:link w:val="823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823">
    <w:name w:val="Heading 7 Char"/>
    <w:basedOn w:val="984"/>
    <w:link w:val="822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824">
    <w:name w:val="Heading 8"/>
    <w:basedOn w:val="980"/>
    <w:next w:val="980"/>
    <w:link w:val="825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825">
    <w:name w:val="Heading 8 Char"/>
    <w:basedOn w:val="984"/>
    <w:link w:val="824"/>
    <w:uiPriority w:val="9"/>
    <w:rPr>
      <w:rFonts w:ascii="Arial" w:hAnsi="Arial" w:eastAsia="Arial" w:cs="Arial"/>
      <w:i/>
      <w:iCs/>
      <w:sz w:val="22"/>
      <w:szCs w:val="22"/>
    </w:rPr>
  </w:style>
  <w:style w:type="paragraph" w:styleId="826">
    <w:name w:val="Heading 9"/>
    <w:basedOn w:val="980"/>
    <w:next w:val="980"/>
    <w:link w:val="827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827">
    <w:name w:val="Heading 9 Char"/>
    <w:basedOn w:val="984"/>
    <w:link w:val="826"/>
    <w:uiPriority w:val="9"/>
    <w:rPr>
      <w:rFonts w:ascii="Arial" w:hAnsi="Arial" w:eastAsia="Arial" w:cs="Arial"/>
      <w:i/>
      <w:iCs/>
      <w:sz w:val="21"/>
      <w:szCs w:val="21"/>
    </w:rPr>
  </w:style>
  <w:style w:type="paragraph" w:styleId="828">
    <w:name w:val="Title"/>
    <w:basedOn w:val="980"/>
    <w:next w:val="980"/>
    <w:link w:val="829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829">
    <w:name w:val="Title Char"/>
    <w:basedOn w:val="984"/>
    <w:link w:val="828"/>
    <w:uiPriority w:val="10"/>
    <w:rPr>
      <w:sz w:val="48"/>
      <w:szCs w:val="48"/>
    </w:rPr>
  </w:style>
  <w:style w:type="paragraph" w:styleId="830">
    <w:name w:val="Subtitle"/>
    <w:basedOn w:val="980"/>
    <w:next w:val="980"/>
    <w:link w:val="831"/>
    <w:uiPriority w:val="11"/>
    <w:qFormat/>
    <w:pPr>
      <w:spacing w:before="200" w:after="200"/>
    </w:pPr>
    <w:rPr>
      <w:sz w:val="24"/>
      <w:szCs w:val="24"/>
    </w:rPr>
  </w:style>
  <w:style w:type="character" w:styleId="831">
    <w:name w:val="Subtitle Char"/>
    <w:basedOn w:val="984"/>
    <w:link w:val="830"/>
    <w:uiPriority w:val="11"/>
    <w:rPr>
      <w:sz w:val="24"/>
      <w:szCs w:val="24"/>
    </w:rPr>
  </w:style>
  <w:style w:type="paragraph" w:styleId="832">
    <w:name w:val="Quote"/>
    <w:basedOn w:val="980"/>
    <w:next w:val="980"/>
    <w:link w:val="833"/>
    <w:uiPriority w:val="29"/>
    <w:qFormat/>
    <w:pPr>
      <w:ind w:left="720" w:right="720"/>
    </w:pPr>
    <w:rPr>
      <w:i/>
    </w:rPr>
  </w:style>
  <w:style w:type="character" w:styleId="833">
    <w:name w:val="Quote Char"/>
    <w:link w:val="832"/>
    <w:uiPriority w:val="29"/>
    <w:rPr>
      <w:i/>
    </w:rPr>
  </w:style>
  <w:style w:type="paragraph" w:styleId="834">
    <w:name w:val="Intense Quote"/>
    <w:basedOn w:val="980"/>
    <w:next w:val="980"/>
    <w:link w:val="835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835">
    <w:name w:val="Intense Quote Char"/>
    <w:link w:val="834"/>
    <w:uiPriority w:val="30"/>
    <w:rPr>
      <w:i/>
    </w:rPr>
  </w:style>
  <w:style w:type="character" w:styleId="836">
    <w:name w:val="Header Char"/>
    <w:basedOn w:val="984"/>
    <w:link w:val="991"/>
    <w:uiPriority w:val="99"/>
  </w:style>
  <w:style w:type="character" w:styleId="837">
    <w:name w:val="Footer Char"/>
    <w:basedOn w:val="984"/>
    <w:link w:val="1017"/>
    <w:uiPriority w:val="99"/>
  </w:style>
  <w:style w:type="paragraph" w:styleId="838">
    <w:name w:val="Caption"/>
    <w:basedOn w:val="980"/>
    <w:next w:val="980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839">
    <w:name w:val="Caption Char"/>
    <w:basedOn w:val="838"/>
    <w:link w:val="1017"/>
    <w:uiPriority w:val="99"/>
  </w:style>
  <w:style w:type="table" w:styleId="840">
    <w:name w:val="Table Grid Light"/>
    <w:basedOn w:val="985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841">
    <w:name w:val="Plain Table 1"/>
    <w:basedOn w:val="985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42">
    <w:name w:val="Plain Table 2"/>
    <w:basedOn w:val="985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43">
    <w:name w:val="Plain Table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844">
    <w:name w:val="Plain Table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5">
    <w:name w:val="Plain Table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846">
    <w:name w:val="Grid Table 1 Light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7">
    <w:name w:val="Grid Table 1 Light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8">
    <w:name w:val="Grid Table 1 Light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9">
    <w:name w:val="Grid Table 1 Light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0">
    <w:name w:val="Grid Table 1 Light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1">
    <w:name w:val="Grid Table 1 Light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2">
    <w:name w:val="Grid Table 1 Light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3">
    <w:name w:val="Grid Table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4">
    <w:name w:val="Grid Table 2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5">
    <w:name w:val="Grid Table 2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6">
    <w:name w:val="Grid Table 2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7">
    <w:name w:val="Grid Table 2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8">
    <w:name w:val="Grid Table 2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9">
    <w:name w:val="Grid Table 2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0">
    <w:name w:val="Grid Table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1">
    <w:name w:val="Grid Table 3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2">
    <w:name w:val="Grid Table 3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3">
    <w:name w:val="Grid Table 3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4">
    <w:name w:val="Grid Table 3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5">
    <w:name w:val="Grid Table 3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6">
    <w:name w:val="Grid Table 3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7">
    <w:name w:val="Grid Table 4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68">
    <w:name w:val="Grid Table 4 - Accent 1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69">
    <w:name w:val="Grid Table 4 - Accent 2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70">
    <w:name w:val="Grid Table 4 - Accent 3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71">
    <w:name w:val="Grid Table 4 - Accent 4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72">
    <w:name w:val="Grid Table 4 - Accent 5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73">
    <w:name w:val="Grid Table 4 - Accent 6"/>
    <w:basedOn w:val="98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74">
    <w:name w:val="Grid Table 5 Dark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75">
    <w:name w:val="Grid Table 5 Dark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76">
    <w:name w:val="Grid Table 5 Dark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77">
    <w:name w:val="Grid Table 5 Dark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78">
    <w:name w:val="Grid Table 5 Dark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79">
    <w:name w:val="Grid Table 5 Dark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80">
    <w:name w:val="Grid Table 5 Dark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881">
    <w:name w:val="Grid Table 6 Colorful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82">
    <w:name w:val="Grid Table 6 Colorful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83">
    <w:name w:val="Grid Table 6 Colorful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84">
    <w:name w:val="Grid Table 6 Colorful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85">
    <w:name w:val="Grid Table 6 Colorful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86">
    <w:name w:val="Grid Table 6 Colorful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87">
    <w:name w:val="Grid Table 6 Colorful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88">
    <w:name w:val="Grid Table 7 Colorful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89">
    <w:name w:val="Grid Table 7 Colorful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0">
    <w:name w:val="Grid Table 7 Colorful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1">
    <w:name w:val="Grid Table 7 Colorful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2">
    <w:name w:val="Grid Table 7 Colorful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3">
    <w:name w:val="Grid Table 7 Colorful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4">
    <w:name w:val="Grid Table 7 Colorful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5">
    <w:name w:val="List Table 1 Light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6">
    <w:name w:val="List Table 1 Light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7">
    <w:name w:val="List Table 1 Light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8">
    <w:name w:val="List Table 1 Light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99">
    <w:name w:val="List Table 1 Light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00">
    <w:name w:val="List Table 1 Light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01">
    <w:name w:val="List Table 1 Light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902">
    <w:name w:val="List Table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903">
    <w:name w:val="List Table 2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904">
    <w:name w:val="List Table 2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905">
    <w:name w:val="List Table 2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906">
    <w:name w:val="List Table 2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907">
    <w:name w:val="List Table 2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908">
    <w:name w:val="List Table 2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909">
    <w:name w:val="List Table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0">
    <w:name w:val="List Table 3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1">
    <w:name w:val="List Table 3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2">
    <w:name w:val="List Table 3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3">
    <w:name w:val="List Table 3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4">
    <w:name w:val="List Table 3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5">
    <w:name w:val="List Table 3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6">
    <w:name w:val="List Table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7">
    <w:name w:val="List Table 4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8">
    <w:name w:val="List Table 4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19">
    <w:name w:val="List Table 4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20">
    <w:name w:val="List Table 4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21">
    <w:name w:val="List Table 4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22">
    <w:name w:val="List Table 4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923">
    <w:name w:val="List Table 5 Dark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4">
    <w:name w:val="List Table 5 Dark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5">
    <w:name w:val="List Table 5 Dark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6">
    <w:name w:val="List Table 5 Dark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7">
    <w:name w:val="List Table 5 Dark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8">
    <w:name w:val="List Table 5 Dark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29">
    <w:name w:val="List Table 5 Dark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30">
    <w:name w:val="List Table 6 Colorful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931">
    <w:name w:val="List Table 6 Colorful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932">
    <w:name w:val="List Table 6 Colorful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933">
    <w:name w:val="List Table 6 Colorful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934">
    <w:name w:val="List Table 6 Colorful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935">
    <w:name w:val="List Table 6 Colorful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936">
    <w:name w:val="List Table 6 Colorful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937">
    <w:name w:val="List Table 7 Colorful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938">
    <w:name w:val="List Table 7 Colorful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939">
    <w:name w:val="List Table 7 Colorful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940">
    <w:name w:val="List Table 7 Colorful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941">
    <w:name w:val="List Table 7 Colorful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942">
    <w:name w:val="List Table 7 Colorful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943">
    <w:name w:val="List Table 7 Colorful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944">
    <w:name w:val="Lined - Accent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45">
    <w:name w:val="Lined - Accent 1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946">
    <w:name w:val="Lined - Accent 2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947">
    <w:name w:val="Lined - Accent 3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948">
    <w:name w:val="Lined - Accent 4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949">
    <w:name w:val="Lined - Accent 5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950">
    <w:name w:val="Lined - Accent 6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951">
    <w:name w:val="Bordered &amp; Lined - Accent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52">
    <w:name w:val="Bordered &amp; Lined - Accent 1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953">
    <w:name w:val="Bordered &amp; Lined - Accent 2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954">
    <w:name w:val="Bordered &amp; Lined - Accent 3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955">
    <w:name w:val="Bordered &amp; Lined - Accent 4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956">
    <w:name w:val="Bordered &amp; Lined - Accent 5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957">
    <w:name w:val="Bordered &amp; Lined - Accent 6"/>
    <w:basedOn w:val="98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958">
    <w:name w:val="Bordered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959">
    <w:name w:val="Bordered - Accent 1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960">
    <w:name w:val="Bordered - Accent 2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961">
    <w:name w:val="Bordered - Accent 3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962">
    <w:name w:val="Bordered - Accent 4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963">
    <w:name w:val="Bordered - Accent 5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64">
    <w:name w:val="Bordered - Accent 6"/>
    <w:basedOn w:val="98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965">
    <w:name w:val="Footnote Text Char"/>
    <w:link w:val="998"/>
    <w:uiPriority w:val="99"/>
    <w:rPr>
      <w:sz w:val="18"/>
    </w:rPr>
  </w:style>
  <w:style w:type="paragraph" w:styleId="966">
    <w:name w:val="endnote text"/>
    <w:basedOn w:val="980"/>
    <w:link w:val="967"/>
    <w:uiPriority w:val="99"/>
    <w:semiHidden/>
    <w:unhideWhenUsed/>
    <w:pPr>
      <w:spacing w:after="0" w:line="240" w:lineRule="auto"/>
    </w:pPr>
    <w:rPr>
      <w:sz w:val="20"/>
    </w:rPr>
  </w:style>
  <w:style w:type="character" w:styleId="967">
    <w:name w:val="Endnote Text Char"/>
    <w:link w:val="966"/>
    <w:uiPriority w:val="99"/>
    <w:rPr>
      <w:sz w:val="20"/>
    </w:rPr>
  </w:style>
  <w:style w:type="character" w:styleId="968">
    <w:name w:val="endnote reference"/>
    <w:basedOn w:val="984"/>
    <w:uiPriority w:val="99"/>
    <w:semiHidden/>
    <w:unhideWhenUsed/>
    <w:rPr>
      <w:vertAlign w:val="superscript"/>
    </w:rPr>
  </w:style>
  <w:style w:type="paragraph" w:styleId="969">
    <w:name w:val="toc 1"/>
    <w:basedOn w:val="980"/>
    <w:next w:val="980"/>
    <w:uiPriority w:val="39"/>
    <w:unhideWhenUsed/>
    <w:pPr>
      <w:ind w:left="0" w:right="0" w:firstLine="0"/>
      <w:spacing w:after="57"/>
    </w:pPr>
  </w:style>
  <w:style w:type="paragraph" w:styleId="970">
    <w:name w:val="toc 2"/>
    <w:basedOn w:val="980"/>
    <w:next w:val="980"/>
    <w:uiPriority w:val="39"/>
    <w:unhideWhenUsed/>
    <w:pPr>
      <w:ind w:left="283" w:right="0" w:firstLine="0"/>
      <w:spacing w:after="57"/>
    </w:pPr>
  </w:style>
  <w:style w:type="paragraph" w:styleId="971">
    <w:name w:val="toc 3"/>
    <w:basedOn w:val="980"/>
    <w:next w:val="980"/>
    <w:uiPriority w:val="39"/>
    <w:unhideWhenUsed/>
    <w:pPr>
      <w:ind w:left="567" w:right="0" w:firstLine="0"/>
      <w:spacing w:after="57"/>
    </w:pPr>
  </w:style>
  <w:style w:type="paragraph" w:styleId="972">
    <w:name w:val="toc 4"/>
    <w:basedOn w:val="980"/>
    <w:next w:val="980"/>
    <w:uiPriority w:val="39"/>
    <w:unhideWhenUsed/>
    <w:pPr>
      <w:ind w:left="850" w:right="0" w:firstLine="0"/>
      <w:spacing w:after="57"/>
    </w:pPr>
  </w:style>
  <w:style w:type="paragraph" w:styleId="973">
    <w:name w:val="toc 5"/>
    <w:basedOn w:val="980"/>
    <w:next w:val="980"/>
    <w:uiPriority w:val="39"/>
    <w:unhideWhenUsed/>
    <w:pPr>
      <w:ind w:left="1134" w:right="0" w:firstLine="0"/>
      <w:spacing w:after="57"/>
    </w:pPr>
  </w:style>
  <w:style w:type="paragraph" w:styleId="974">
    <w:name w:val="toc 6"/>
    <w:basedOn w:val="980"/>
    <w:next w:val="980"/>
    <w:uiPriority w:val="39"/>
    <w:unhideWhenUsed/>
    <w:pPr>
      <w:ind w:left="1417" w:right="0" w:firstLine="0"/>
      <w:spacing w:after="57"/>
    </w:pPr>
  </w:style>
  <w:style w:type="paragraph" w:styleId="975">
    <w:name w:val="toc 7"/>
    <w:basedOn w:val="980"/>
    <w:next w:val="980"/>
    <w:uiPriority w:val="39"/>
    <w:unhideWhenUsed/>
    <w:pPr>
      <w:ind w:left="1701" w:right="0" w:firstLine="0"/>
      <w:spacing w:after="57"/>
    </w:pPr>
  </w:style>
  <w:style w:type="paragraph" w:styleId="976">
    <w:name w:val="toc 8"/>
    <w:basedOn w:val="980"/>
    <w:next w:val="980"/>
    <w:uiPriority w:val="39"/>
    <w:unhideWhenUsed/>
    <w:pPr>
      <w:ind w:left="1984" w:right="0" w:firstLine="0"/>
      <w:spacing w:after="57"/>
    </w:pPr>
  </w:style>
  <w:style w:type="paragraph" w:styleId="977">
    <w:name w:val="toc 9"/>
    <w:basedOn w:val="980"/>
    <w:next w:val="980"/>
    <w:uiPriority w:val="39"/>
    <w:unhideWhenUsed/>
    <w:pPr>
      <w:ind w:left="2268" w:right="0" w:firstLine="0"/>
      <w:spacing w:after="57"/>
    </w:pPr>
  </w:style>
  <w:style w:type="paragraph" w:styleId="978">
    <w:name w:val="TOC Heading"/>
    <w:uiPriority w:val="39"/>
    <w:unhideWhenUsed/>
  </w:style>
  <w:style w:type="paragraph" w:styleId="979">
    <w:name w:val="table of figures"/>
    <w:basedOn w:val="980"/>
    <w:next w:val="980"/>
    <w:uiPriority w:val="99"/>
    <w:unhideWhenUsed/>
    <w:pPr>
      <w:spacing w:after="0" w:afterAutospacing="0"/>
    </w:pPr>
  </w:style>
  <w:style w:type="paragraph" w:styleId="980" w:default="1">
    <w:name w:val="Normal"/>
    <w:qFormat/>
    <w:pPr>
      <w:contextualSpacing/>
      <w:ind w:firstLine="708"/>
      <w:jc w:val="both"/>
      <w:spacing w:line="240" w:lineRule="auto"/>
    </w:pPr>
    <w:rPr>
      <w:rFonts w:ascii="Times New Roman" w:hAnsi="Times New Roman" w:eastAsia="Calibri" w:cs="Times New Roman"/>
      <w:b/>
      <w:bCs/>
      <w:color w:val="000000"/>
      <w:sz w:val="28"/>
      <w:szCs w:val="28"/>
      <w:shd w:val="clear" w:color="ffffff" w:themeColor="background1" w:fill="ffffff" w:themeFill="background1"/>
    </w:rPr>
  </w:style>
  <w:style w:type="paragraph" w:styleId="981">
    <w:name w:val="Heading 1"/>
    <w:basedOn w:val="980"/>
    <w:link w:val="987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hAnsi="Times New Roman" w:eastAsia="Times New Roman" w:cs="Times New Roman"/>
      <w:b/>
      <w:bCs/>
      <w:sz w:val="48"/>
      <w:szCs w:val="48"/>
      <w:lang w:eastAsia="ru-RU"/>
    </w:rPr>
  </w:style>
  <w:style w:type="paragraph" w:styleId="982">
    <w:name w:val="Heading 2"/>
    <w:basedOn w:val="980"/>
    <w:next w:val="980"/>
    <w:link w:val="1004"/>
    <w:uiPriority w:val="9"/>
    <w:unhideWhenUsed/>
    <w:qFormat/>
    <w:pPr>
      <w:keepLines/>
      <w:keepNext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983">
    <w:name w:val="Heading 3"/>
    <w:basedOn w:val="980"/>
    <w:next w:val="980"/>
    <w:link w:val="1025"/>
    <w:uiPriority w:val="9"/>
    <w:semiHidden/>
    <w:unhideWhenUsed/>
    <w:qFormat/>
    <w:pPr>
      <w:keepLines/>
      <w:keepNext/>
      <w:spacing w:before="40" w:after="0"/>
      <w:outlineLvl w:val="2"/>
    </w:pPr>
    <w:rPr>
      <w:rFonts w:asciiTheme="majorHAnsi" w:hAnsiTheme="majorHAnsi" w:eastAsiaTheme="majorEastAsia" w:cstheme="majorBidi"/>
      <w:color w:val="243f60" w:themeColor="accent1" w:themeShade="7F"/>
      <w:sz w:val="24"/>
      <w:szCs w:val="24"/>
    </w:rPr>
  </w:style>
  <w:style w:type="character" w:styleId="984" w:default="1">
    <w:name w:val="Default Paragraph Font"/>
    <w:uiPriority w:val="1"/>
    <w:semiHidden/>
    <w:unhideWhenUsed/>
  </w:style>
  <w:style w:type="table" w:styleId="985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986" w:default="1">
    <w:name w:val="No List"/>
    <w:uiPriority w:val="99"/>
    <w:semiHidden/>
    <w:unhideWhenUsed/>
  </w:style>
  <w:style w:type="character" w:styleId="987" w:customStyle="1">
    <w:name w:val="Заголовок 1 Знак"/>
    <w:basedOn w:val="984"/>
    <w:link w:val="981"/>
    <w:uiPriority w:val="9"/>
    <w:rPr>
      <w:rFonts w:ascii="Times New Roman" w:hAnsi="Times New Roman" w:eastAsia="Times New Roman" w:cs="Times New Roman"/>
      <w:b/>
      <w:bCs/>
      <w:sz w:val="48"/>
      <w:szCs w:val="48"/>
      <w:lang w:eastAsia="ru-RU"/>
    </w:rPr>
  </w:style>
  <w:style w:type="paragraph" w:styleId="988" w:customStyle="1">
    <w:name w:val="ConsPlusNormal"/>
    <w:link w:val="989"/>
    <w:pPr>
      <w:ind w:firstLine="720"/>
      <w:spacing w:after="0" w:line="240" w:lineRule="auto"/>
      <w:widowControl w:val="off"/>
    </w:pPr>
    <w:rPr>
      <w:rFonts w:ascii="Arial" w:hAnsi="Arial" w:eastAsia="Times New Roman" w:cs="Arial"/>
      <w:sz w:val="20"/>
      <w:szCs w:val="20"/>
      <w:lang w:eastAsia="ru-RU"/>
    </w:rPr>
  </w:style>
  <w:style w:type="character" w:styleId="989" w:customStyle="1">
    <w:name w:val="ConsPlusNormal Знак"/>
    <w:basedOn w:val="984"/>
    <w:link w:val="988"/>
    <w:rPr>
      <w:rFonts w:ascii="Arial" w:hAnsi="Arial" w:eastAsia="Times New Roman" w:cs="Arial"/>
      <w:sz w:val="20"/>
      <w:szCs w:val="20"/>
      <w:lang w:eastAsia="ru-RU"/>
    </w:rPr>
  </w:style>
  <w:style w:type="character" w:styleId="990">
    <w:name w:val="Hyperlink"/>
    <w:basedOn w:val="984"/>
    <w:unhideWhenUsed/>
    <w:rPr>
      <w:color w:val="0000ff"/>
      <w:u w:val="single"/>
    </w:rPr>
  </w:style>
  <w:style w:type="paragraph" w:styleId="991">
    <w:name w:val="Header"/>
    <w:basedOn w:val="980"/>
    <w:link w:val="992"/>
    <w:uiPriority w:val="99"/>
    <w:pPr>
      <w:spacing w:after="0" w:line="240" w:lineRule="auto"/>
      <w:tabs>
        <w:tab w:val="center" w:pos="4677" w:leader="none"/>
        <w:tab w:val="right" w:pos="9355" w:leader="none"/>
      </w:tabs>
    </w:pPr>
    <w:rPr>
      <w:rFonts w:ascii="Times New Roman" w:hAnsi="Times New Roman" w:eastAsia="Calibri" w:cs="Times New Roman"/>
      <w:bCs/>
      <w:color w:val="000000"/>
      <w:sz w:val="24"/>
      <w:szCs w:val="24"/>
      <w:lang w:eastAsia="ru-RU"/>
    </w:rPr>
  </w:style>
  <w:style w:type="character" w:styleId="992" w:customStyle="1">
    <w:name w:val="Верхний колонтитул Знак"/>
    <w:basedOn w:val="984"/>
    <w:link w:val="991"/>
    <w:uiPriority w:val="99"/>
    <w:rPr>
      <w:rFonts w:ascii="Times New Roman" w:hAnsi="Times New Roman" w:eastAsia="Calibri" w:cs="Times New Roman"/>
      <w:bCs/>
      <w:color w:val="000000"/>
      <w:sz w:val="24"/>
      <w:szCs w:val="24"/>
      <w:lang w:eastAsia="ru-RU"/>
    </w:rPr>
  </w:style>
  <w:style w:type="character" w:styleId="993" w:customStyle="1">
    <w:name w:val="title1"/>
    <w:basedOn w:val="984"/>
  </w:style>
  <w:style w:type="paragraph" w:styleId="994">
    <w:name w:val="Balloon Text"/>
    <w:basedOn w:val="980"/>
    <w:link w:val="99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995" w:customStyle="1">
    <w:name w:val="Текст выноски Знак"/>
    <w:basedOn w:val="984"/>
    <w:link w:val="994"/>
    <w:uiPriority w:val="99"/>
    <w:semiHidden/>
    <w:rPr>
      <w:rFonts w:ascii="Tahoma" w:hAnsi="Tahoma" w:cs="Tahoma"/>
      <w:sz w:val="16"/>
      <w:szCs w:val="16"/>
    </w:rPr>
  </w:style>
  <w:style w:type="paragraph" w:styleId="996">
    <w:name w:val="Normal (Web)"/>
    <w:basedOn w:val="980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997">
    <w:name w:val="Table Grid"/>
    <w:basedOn w:val="985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998">
    <w:name w:val="footnote text"/>
    <w:basedOn w:val="980"/>
    <w:link w:val="999"/>
    <w:uiPriority w:val="99"/>
    <w:unhideWhenUsed/>
    <w:pPr>
      <w:spacing w:after="0" w:line="240" w:lineRule="auto"/>
    </w:pPr>
    <w:rPr>
      <w:sz w:val="20"/>
      <w:szCs w:val="20"/>
    </w:rPr>
  </w:style>
  <w:style w:type="character" w:styleId="999" w:customStyle="1">
    <w:name w:val="Текст сноски Знак"/>
    <w:basedOn w:val="984"/>
    <w:link w:val="998"/>
    <w:uiPriority w:val="99"/>
    <w:rPr>
      <w:sz w:val="20"/>
      <w:szCs w:val="20"/>
    </w:rPr>
  </w:style>
  <w:style w:type="character" w:styleId="1000">
    <w:name w:val="footnote reference"/>
    <w:basedOn w:val="984"/>
    <w:uiPriority w:val="99"/>
    <w:unhideWhenUsed/>
    <w:rPr>
      <w:vertAlign w:val="superscript"/>
    </w:rPr>
  </w:style>
  <w:style w:type="paragraph" w:styleId="1001">
    <w:name w:val="List Paragraph"/>
    <w:basedOn w:val="980"/>
    <w:uiPriority w:val="34"/>
    <w:qFormat/>
    <w:pPr>
      <w:contextualSpacing/>
      <w:ind w:left="720"/>
      <w:spacing w:after="160" w:line="259" w:lineRule="auto"/>
    </w:pPr>
  </w:style>
  <w:style w:type="paragraph" w:styleId="1002">
    <w:name w:val="Body Text"/>
    <w:basedOn w:val="980"/>
    <w:link w:val="1003"/>
    <w:uiPriority w:val="1"/>
    <w:qFormat/>
    <w:pPr>
      <w:spacing w:after="0" w:line="240" w:lineRule="auto"/>
      <w:widowControl w:val="off"/>
    </w:pPr>
    <w:rPr>
      <w:rFonts w:ascii="Times New Roman" w:hAnsi="Times New Roman" w:eastAsia="Times New Roman" w:cs="Times New Roman"/>
      <w:sz w:val="28"/>
      <w:szCs w:val="28"/>
    </w:rPr>
  </w:style>
  <w:style w:type="character" w:styleId="1003" w:customStyle="1">
    <w:name w:val="Основной текст Знак"/>
    <w:basedOn w:val="984"/>
    <w:link w:val="1002"/>
    <w:uiPriority w:val="1"/>
    <w:rPr>
      <w:rFonts w:ascii="Times New Roman" w:hAnsi="Times New Roman" w:eastAsia="Times New Roman" w:cs="Times New Roman"/>
      <w:sz w:val="28"/>
      <w:szCs w:val="28"/>
    </w:rPr>
  </w:style>
  <w:style w:type="character" w:styleId="1004" w:customStyle="1">
    <w:name w:val="Заголовок 2 Знак"/>
    <w:basedOn w:val="984"/>
    <w:link w:val="982"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1005" w:customStyle="1">
    <w:name w:val="Абзац списка1"/>
    <w:basedOn w:val="980"/>
    <w:pPr>
      <w:contextualSpacing/>
      <w:ind w:left="720"/>
      <w:spacing w:after="0" w:line="240" w:lineRule="auto"/>
    </w:pPr>
    <w:rPr>
      <w:rFonts w:ascii="Times New Roman" w:hAnsi="Times New Roman" w:eastAsia="Calibri" w:cs="Times New Roman"/>
      <w:sz w:val="24"/>
      <w:szCs w:val="24"/>
      <w:lang w:eastAsia="ru-RU"/>
    </w:rPr>
  </w:style>
  <w:style w:type="character" w:styleId="1006">
    <w:name w:val="Strong"/>
    <w:basedOn w:val="984"/>
    <w:uiPriority w:val="22"/>
    <w:qFormat/>
    <w:rPr>
      <w:b/>
      <w:bCs/>
    </w:rPr>
  </w:style>
  <w:style w:type="character" w:styleId="1007" w:customStyle="1">
    <w:name w:val="news__arrowdesktop"/>
    <w:basedOn w:val="984"/>
  </w:style>
  <w:style w:type="paragraph" w:styleId="1008" w:customStyle="1">
    <w:name w:val="align_center"/>
    <w:basedOn w:val="98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1009" w:customStyle="1">
    <w:name w:val="no-indent"/>
    <w:basedOn w:val="98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1010">
    <w:name w:val="No Spacing"/>
    <w:link w:val="1023"/>
    <w:uiPriority w:val="1"/>
    <w:qFormat/>
    <w:pPr>
      <w:spacing w:after="0" w:line="240" w:lineRule="auto"/>
    </w:pPr>
  </w:style>
  <w:style w:type="character" w:styleId="1011" w:customStyle="1">
    <w:name w:val="Текст примечания Знак"/>
    <w:basedOn w:val="984"/>
    <w:link w:val="1012"/>
    <w:uiPriority w:val="99"/>
    <w:semiHidden/>
    <w:rPr>
      <w:sz w:val="20"/>
      <w:szCs w:val="20"/>
    </w:rPr>
  </w:style>
  <w:style w:type="paragraph" w:styleId="1012">
    <w:name w:val="annotation text"/>
    <w:basedOn w:val="980"/>
    <w:link w:val="1011"/>
    <w:uiPriority w:val="99"/>
    <w:semiHidden/>
    <w:unhideWhenUsed/>
    <w:pPr>
      <w:spacing w:after="160" w:line="240" w:lineRule="auto"/>
    </w:pPr>
    <w:rPr>
      <w:sz w:val="20"/>
      <w:szCs w:val="20"/>
    </w:rPr>
  </w:style>
  <w:style w:type="character" w:styleId="1013" w:customStyle="1">
    <w:name w:val="Текст примечания Знак1"/>
    <w:basedOn w:val="984"/>
    <w:uiPriority w:val="99"/>
    <w:semiHidden/>
    <w:rPr>
      <w:sz w:val="20"/>
      <w:szCs w:val="20"/>
    </w:rPr>
  </w:style>
  <w:style w:type="character" w:styleId="1014" w:customStyle="1">
    <w:name w:val="Тема примечания Знак"/>
    <w:basedOn w:val="1011"/>
    <w:link w:val="1015"/>
    <w:uiPriority w:val="99"/>
    <w:semiHidden/>
    <w:rPr>
      <w:b/>
      <w:bCs/>
      <w:sz w:val="20"/>
      <w:szCs w:val="20"/>
    </w:rPr>
  </w:style>
  <w:style w:type="paragraph" w:styleId="1015">
    <w:name w:val="annotation subject"/>
    <w:basedOn w:val="1012"/>
    <w:next w:val="1012"/>
    <w:link w:val="1014"/>
    <w:uiPriority w:val="99"/>
    <w:semiHidden/>
    <w:unhideWhenUsed/>
    <w:rPr>
      <w:b/>
      <w:bCs/>
    </w:rPr>
  </w:style>
  <w:style w:type="character" w:styleId="1016" w:customStyle="1">
    <w:name w:val="Тема примечания Знак1"/>
    <w:basedOn w:val="1013"/>
    <w:uiPriority w:val="99"/>
    <w:semiHidden/>
    <w:rPr>
      <w:b/>
      <w:bCs/>
      <w:sz w:val="20"/>
      <w:szCs w:val="20"/>
    </w:rPr>
  </w:style>
  <w:style w:type="paragraph" w:styleId="1017">
    <w:name w:val="Footer"/>
    <w:basedOn w:val="980"/>
    <w:link w:val="1018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1018" w:customStyle="1">
    <w:name w:val="Нижний колонтитул Знак"/>
    <w:basedOn w:val="984"/>
    <w:link w:val="1017"/>
    <w:uiPriority w:val="99"/>
  </w:style>
  <w:style w:type="paragraph" w:styleId="1019" w:customStyle="1">
    <w:name w:val="Style4"/>
    <w:basedOn w:val="980"/>
    <w:uiPriority w:val="99"/>
    <w:pPr>
      <w:ind w:firstLine="845"/>
      <w:jc w:val="both"/>
      <w:spacing w:after="0" w:line="323" w:lineRule="exact"/>
      <w:widowControl w:val="off"/>
    </w:pPr>
    <w:rPr>
      <w:rFonts w:ascii="Times New Roman" w:hAnsi="Times New Roman" w:cs="Times New Roman" w:eastAsiaTheme="minorEastAsia"/>
      <w:sz w:val="24"/>
      <w:szCs w:val="24"/>
      <w:lang w:eastAsia="ru-RU"/>
    </w:rPr>
  </w:style>
  <w:style w:type="character" w:styleId="1020" w:customStyle="1">
    <w:name w:val="Font Style20"/>
    <w:basedOn w:val="984"/>
    <w:uiPriority w:val="99"/>
    <w:rPr>
      <w:rFonts w:ascii="Times New Roman" w:hAnsi="Times New Roman" w:cs="Times New Roman"/>
      <w:sz w:val="26"/>
      <w:szCs w:val="26"/>
    </w:rPr>
  </w:style>
  <w:style w:type="paragraph" w:styleId="1021" w:customStyle="1">
    <w:name w:val="Style8"/>
    <w:basedOn w:val="980"/>
    <w:uiPriority w:val="99"/>
    <w:pPr>
      <w:jc w:val="both"/>
      <w:spacing w:after="0" w:line="240" w:lineRule="auto"/>
      <w:widowControl w:val="off"/>
    </w:pPr>
    <w:rPr>
      <w:rFonts w:ascii="Times New Roman" w:hAnsi="Times New Roman" w:cs="Times New Roman" w:eastAsiaTheme="minorEastAsia"/>
      <w:sz w:val="24"/>
      <w:szCs w:val="24"/>
      <w:lang w:eastAsia="ru-RU"/>
    </w:rPr>
  </w:style>
  <w:style w:type="paragraph" w:styleId="1022" w:customStyle="1">
    <w:name w:val="ConsPlusTitle"/>
    <w:uiPriority w:val="99"/>
    <w:pPr>
      <w:spacing w:after="0" w:line="240" w:lineRule="auto"/>
      <w:widowControl w:val="off"/>
    </w:pPr>
    <w:rPr>
      <w:rFonts w:ascii="Arial" w:hAnsi="Arial" w:eastAsia="Times New Roman" w:cs="Arial"/>
      <w:b/>
      <w:bCs/>
      <w:sz w:val="20"/>
      <w:szCs w:val="20"/>
      <w:lang w:eastAsia="ru-RU"/>
    </w:rPr>
  </w:style>
  <w:style w:type="character" w:styleId="1023" w:customStyle="1">
    <w:name w:val="Без интервала Знак"/>
    <w:link w:val="1010"/>
    <w:uiPriority w:val="1"/>
  </w:style>
  <w:style w:type="paragraph" w:styleId="1024" w:customStyle="1">
    <w:name w:val="Style11"/>
    <w:basedOn w:val="980"/>
    <w:uiPriority w:val="99"/>
    <w:pPr>
      <w:jc w:val="both"/>
      <w:spacing w:after="0" w:line="371" w:lineRule="exact"/>
      <w:widowControl w:val="off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1025" w:customStyle="1">
    <w:name w:val="Заголовок 3 Знак"/>
    <w:basedOn w:val="984"/>
    <w:link w:val="983"/>
    <w:uiPriority w:val="9"/>
    <w:semiHidden/>
    <w:rPr>
      <w:rFonts w:asciiTheme="majorHAnsi" w:hAnsiTheme="majorHAnsi" w:eastAsiaTheme="majorEastAsia" w:cstheme="majorBidi"/>
      <w:color w:val="243f60" w:themeColor="accent1" w:themeShade="7F"/>
      <w:sz w:val="24"/>
      <w:szCs w:val="24"/>
    </w:rPr>
  </w:style>
  <w:style w:type="paragraph" w:styleId="1026" w:customStyle="1">
    <w:name w:val="Style17"/>
    <w:basedOn w:val="980"/>
    <w:uiPriority w:val="99"/>
    <w:pPr>
      <w:ind w:firstLine="706"/>
      <w:jc w:val="both"/>
      <w:spacing w:after="0" w:line="370" w:lineRule="exact"/>
      <w:widowControl w:val="off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1027" w:customStyle="1">
    <w:name w:val="u"/>
    <w:basedOn w:val="98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1028" w:customStyle="1">
    <w:name w:val="Сетка таблицы1"/>
    <w:basedOn w:val="985"/>
    <w:next w:val="997"/>
    <w:uiPriority w:val="39"/>
    <w:pPr>
      <w:spacing w:after="0" w:line="240" w:lineRule="auto"/>
    </w:pPr>
    <w:rPr>
      <w:rFonts w:ascii="Calibri" w:hAnsi="Calibri" w:eastAsia="Calibri" w:cs="Times New Roman"/>
      <w:sz w:val="20"/>
      <w:szCs w:val="20"/>
      <w:lang w:eastAsia="ru-RU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1029" w:customStyle="1">
    <w:name w:val="Абзац списка"/>
    <w:uiPriority w:val="34"/>
    <w:qFormat/>
    <w:pPr>
      <w:contextualSpacing/>
      <w:ind w:left="720" w:right="0" w:firstLine="709"/>
      <w:jc w:val="both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8"/>
      <w:szCs w:val="28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paragraph" w:styleId="1030" w:customStyle="1">
    <w:name w:val="Обычный (веб)"/>
    <w:uiPriority w:val="99"/>
    <w:unhideWhenUsed/>
    <w:pPr>
      <w:contextualSpacing w:val="0"/>
      <w:ind w:left="0" w:right="0" w:firstLine="0"/>
      <w:jc w:val="left"/>
      <w:keepLines w:val="0"/>
      <w:keepNext w:val="0"/>
      <w:pageBreakBefore w:val="0"/>
      <w:spacing w:before="100" w:beforeAutospacing="1" w:after="100" w:afterAutospacing="1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31" w:customStyle="1">
    <w:name w:val="Текст сноски"/>
    <w:uiPriority w:val="99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en-US" w:eastAsia="ru-RU" w:bidi="ar-SA"/>
      <w14:ligatures w14:val="none"/>
    </w:rPr>
  </w:style>
  <w:style w:type="character" w:styleId="1032" w:customStyle="1">
    <w:name w:val="Знак сноски"/>
    <w:uiPriority w:val="99"/>
    <w:semiHidden/>
    <w:rPr>
      <w:vertAlign w:val="superscript"/>
    </w:rPr>
  </w:style>
  <w:style w:type="paragraph" w:styleId="1033" w:customStyle="1">
    <w:name w:val="Style1"/>
    <w:uiPriority w:val="99"/>
    <w:pPr>
      <w:contextualSpacing w:val="0"/>
      <w:ind w:left="0" w:right="0" w:firstLine="713"/>
      <w:jc w:val="both"/>
      <w:keepLines w:val="0"/>
      <w:keepNext w:val="0"/>
      <w:pageBreakBefore w:val="0"/>
      <w:spacing w:before="0" w:beforeAutospacing="0" w:after="0" w:afterAutospacing="0" w:line="356" w:lineRule="exact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34" w:customStyle="1">
    <w:name w:val="Default"/>
    <w:next w:val="981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character" w:styleId="1035" w:customStyle="1">
    <w:name w:val="Гиперссылка"/>
    <w:uiPriority w:val="99"/>
    <w:rPr>
      <w:color w:val="0000ff"/>
      <w:u w:val="single"/>
    </w:rPr>
  </w:style>
  <w:style w:type="paragraph" w:styleId="1036" w:customStyle="1">
    <w:name w:val="Без интервала"/>
    <w:next w:val="890"/>
    <w:link w:val="818"/>
    <w:uiPriority w:val="1"/>
    <w:qFormat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Calibri" w:hAnsi="Calibri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2"/>
      <w:szCs w:val="22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paragraph" w:styleId="1037" w:customStyle="1">
    <w:name w:val="Заголовок 3"/>
    <w:uiPriority w:val="9"/>
    <w:unhideWhenUsed/>
    <w:qFormat/>
    <w:pPr>
      <w:contextualSpacing w:val="0"/>
      <w:ind w:left="0" w:right="0" w:firstLine="709"/>
      <w:jc w:val="both"/>
      <w:keepLines w:val="0"/>
      <w:keepNext/>
      <w:pageBreakBefore w:val="0"/>
      <w:spacing w:before="240" w:beforeAutospacing="0" w:after="6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outlineLvl w:val="2"/>
      <w:suppressLineNumbers w:val="0"/>
    </w:pPr>
    <w:rPr>
      <w:rFonts w:ascii="Calibri Light" w:hAnsi="Calibri Light" w:eastAsia="Times New Roman" w:cs="Times New Roman"/>
      <w:b/>
      <w:bCs/>
      <w:i w:val="0"/>
      <w:iCs w:val="0"/>
      <w:caps w:val="0"/>
      <w:smallCaps w:val="0"/>
      <w:strike w:val="0"/>
      <w:vanish w:val="0"/>
      <w:color w:val="auto"/>
      <w:spacing w:val="0"/>
      <w:position w:val="0"/>
      <w:sz w:val="26"/>
      <w:szCs w:val="26"/>
      <w:highlight w:val="none"/>
      <w:u w:val="none"/>
      <w:vertAlign w:val="baseline"/>
      <w:rtl w:val="0"/>
      <w:cs w:val="0"/>
      <w:lang w:val="en-US" w:eastAsia="en-US" w:bidi="ar-SA"/>
      <w14:ligatures w14:val="none"/>
    </w:rPr>
  </w:style>
  <w:style w:type="paragraph" w:styleId="1038" w:customStyle="1">
    <w:name w:val="Text body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8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39" w:customStyle="1">
    <w:name w:val="ConsPlusTitlePage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ahoma" w:hAnsi="Tahoma" w:eastAsia="Times New Roman" w:cs="Tahoma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40" w:customStyle="1">
    <w:name w:val="Простой Текст"/>
    <w:qFormat/>
    <w:pPr>
      <w:contextualSpacing w:val="0"/>
      <w:ind w:left="0" w:right="0" w:firstLine="851"/>
      <w:jc w:val="both"/>
      <w:keepLines w:val="0"/>
      <w:keepNext w:val="0"/>
      <w:pageBreakBefore w:val="0"/>
      <w:spacing w:before="0" w:beforeAutospacing="0" w:after="160" w:afterAutospacing="0" w:line="36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Arial" w:hAnsi="Arial" w:eastAsia="Times New Roman" w:cstheme="minorBidi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ru-RU" w:bidi="ar-SA"/>
      <w14:ligatures w14:val="non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customXml" Target="../customXml/item1.xml" /><Relationship Id="rId13" Type="http://schemas.openxmlformats.org/officeDocument/2006/relationships/image" Target="media/image1.jpg"/><Relationship Id="rId14" Type="http://schemas.openxmlformats.org/officeDocument/2006/relationships/hyperlink" Target="https://www.consultant.ru/document/cons_doc_LAW_511158/" TargetMode="External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hyperlink" Target="https://rosreestr.gov.ru/press/archive/rosreestr-podvyel-itogi-za-2024-god-i-opredelil-prioritety-na-2025/" TargetMode="External"/><Relationship Id="rId19" Type="http://schemas.openxmlformats.org/officeDocument/2006/relationships/hyperlink" Target="http://publication.pravo.gov.ru/document/0001202507230048" TargetMode="External"/><Relationship Id="rId20" Type="http://schemas.openxmlformats.org/officeDocument/2006/relationships/hyperlink" Target="http://www.consultant.ru/document/cons_doc_LAW_358790/" TargetMode="External"/><Relationship Id="rId21" Type="http://schemas.openxmlformats.org/officeDocument/2006/relationships/hyperlink" Target="https://nspd.gov.ru/construction-nspd" TargetMode="External"/><Relationship Id="rId22" Type="http://schemas.openxmlformats.org/officeDocument/2006/relationships/hyperlink" Target="https://nspd.gov.ru/#top_section" TargetMode="External"/><Relationship Id="rId23" Type="http://schemas.openxmlformats.org/officeDocument/2006/relationships/hyperlink" Target="https://nspd.gov.ru/construction-nspd" TargetMode="External"/><Relationship Id="rId24" Type="http://schemas.openxmlformats.org/officeDocument/2006/relationships/hyperlink" Target="https://nspd.gov.ru/urban-analyze" TargetMode="External"/><Relationship Id="rId25" Type="http://schemas.openxmlformats.org/officeDocument/2006/relationships/hyperlink" Target="https://nspd.gov.ru/land-nspd" TargetMode="External"/><Relationship Id="rId26" Type="http://schemas.openxmlformats.org/officeDocument/2006/relationships/hyperlink" Target="https://kadastr.ru/services/kadastrovye-raboty/" TargetMode="External"/><Relationship Id="rId27" Type="http://schemas.openxmlformats.org/officeDocument/2006/relationships/hyperlink" Target="https://nspd.gov.ru/individual-housing-construction" TargetMode="External"/><Relationship Id="rId28" Type="http://schemas.openxmlformats.org/officeDocument/2006/relationships/hyperlink" Target="https://kadastr.ru/services/kadastrovye-raboty/" TargetMode="External"/><Relationship Id="rId29" Type="http://schemas.openxmlformats.org/officeDocument/2006/relationships/hyperlink" Target="http://publication.pravo.gov.ru/document/0001202508050010?index=1" TargetMode="External"/><Relationship Id="rId30" Type="http://schemas.openxmlformats.org/officeDocument/2006/relationships/hyperlink" Target="https://rosreestr.gov.ru/press/archive/rosreestr-vnedril-prilozhenie-inspektor-dlya-onlayn-konsultatsiy-po-voprosam-zemelnogo-kontrolya-nad/" TargetMode="External"/><Relationship Id="rId31" Type="http://schemas.openxmlformats.org/officeDocument/2006/relationships/hyperlink" Target="http://publication.pravo.gov.ru/document/0001202506020049?ysclid=mdswxepsjy510352874" TargetMode="External"/><Relationship Id="rId32" Type="http://schemas.openxmlformats.org/officeDocument/2006/relationships/hyperlink" Target="https://rosreestr.gov.ru/press/archive/rosreestr-razyasnil-kak-budet-rabotat-zakon-ob-osvoenii-i-ispolzovanii-uchastkov/" TargetMode="External"/><Relationship Id="rId33" Type="http://schemas.openxmlformats.org/officeDocument/2006/relationships/hyperlink" Target="https://rosreestr.gov.ru/press/archive/pravitelstvo-utverdilo-perechen-meropriyatiy-neobkhodimykh-dlya-osvoeniya-zemelnogo-uchastka/" TargetMode="External"/><Relationship Id="rId34" Type="http://schemas.openxmlformats.org/officeDocument/2006/relationships/hyperlink" Target="https://rosreestr.gov.ru/press/archive/kakie-khozpostroyki-neobkhodimo-registrirovat-v-rosreestre/" TargetMode="External"/><Relationship Id="rId35" Type="http://schemas.openxmlformats.org/officeDocument/2006/relationships/hyperlink" Target="https://rosreestr.gov.ru/press/archive/rosreestr-i-geodezicheskaya-sluzhba-indii-budut-sotrudnichat-v-sfere-geoprostranstvennykh-tekhnologii/" TargetMode="External"/><Relationship Id="rId36" Type="http://schemas.openxmlformats.org/officeDocument/2006/relationships/hyperlink" Target="https://rosreestr.gov.ru/press/archive/rosreestr-i-geodezicheskaya-sluzhba-indii-proveli-pervuyu-vstrechu-po-obmenu-opytom-v-ramkakh-memora/?sphrase_id=5210943" TargetMode="External"/><Relationship Id="rId37" Type="http://schemas.openxmlformats.org/officeDocument/2006/relationships/hyperlink" Target="https://rosreestr.gov.ru/press/archive/rossiya-i-indiya-obsudili-sotrudnichestvo-v-sfere-geoinformatsionnykh-tekhnologiy/?sphrase_id=5210943" TargetMode="External"/><Relationship Id="rId38" Type="http://schemas.openxmlformats.org/officeDocument/2006/relationships/hyperlink" Target="https://pos.gosuslugi.ru/lkp/polls/528236/" TargetMode="External"/><Relationship Id="rId39" Type="http://schemas.openxmlformats.org/officeDocument/2006/relationships/hyperlink" Target="https://rosreestr.gov.ru/open-service/audits/" TargetMode="External"/><Relationship Id="rId40" Type="http://schemas.openxmlformats.org/officeDocument/2006/relationships/hyperlink" Target="https://rosreestr.gov.ru/eservices/services/tickets/" TargetMode="External"/><Relationship Id="rId41" Type="http://schemas.openxmlformats.org/officeDocument/2006/relationships/hyperlink" Target="https://rosreestr.gov.ru/activity/gosudarstvennyy-nadzor/gosudarstvennyy-zemelnyy-kontrol-nadzor/samostoyatelnaya-otsenka-soblyudeniya-obyazatelnykh-trebovaniy/" TargetMode="External"/><Relationship Id="rId42" Type="http://schemas.openxmlformats.org/officeDocument/2006/relationships/hyperlink" Target="http://publication.pravo.gov.ru/document/0001202506020049?ysclid=mdswxepsjy510352874" TargetMode="External"/><Relationship Id="rId43" Type="http://schemas.openxmlformats.org/officeDocument/2006/relationships/hyperlink" Target="https://www.gosuslugi.ru/626705/1/form" TargetMode="External"/><Relationship Id="rId44" Type="http://schemas.openxmlformats.org/officeDocument/2006/relationships/hyperlink" Target="https://rosreestr.gov.ru/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D1D05F-EA87-412F-94C7-22C86E3B3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Р7-Офис/2024.3.2.551</Application>
  <Company>Microsoft</Company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ziaa</dc:creator>
  <cp:keywords/>
  <dc:description/>
  <cp:revision>77</cp:revision>
  <dcterms:created xsi:type="dcterms:W3CDTF">2023-01-26T03:20:00Z</dcterms:created>
  <dcterms:modified xsi:type="dcterms:W3CDTF">2025-09-03T09:00:43Z</dcterms:modified>
</cp:coreProperties>
</file>